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0F0" w:rsidRPr="001F70F0" w:rsidRDefault="001F70F0" w:rsidP="001F70F0">
      <w:pPr>
        <w:spacing w:before="200" w:after="100" w:afterAutospacing="1" w:line="240" w:lineRule="auto"/>
        <w:rPr>
          <w:rFonts w:ascii="Arial" w:eastAsia="Times New Roman" w:hAnsi="Arial" w:cs="Arial"/>
          <w:sz w:val="15"/>
          <w:szCs w:val="15"/>
        </w:rPr>
      </w:pPr>
      <w:r w:rsidRPr="001F70F0">
        <w:rPr>
          <w:rFonts w:ascii="Arial" w:eastAsia="Times New Roman" w:hAnsi="Arial" w:cs="Arial"/>
          <w:sz w:val="15"/>
          <w:szCs w:val="15"/>
        </w:rPr>
        <w:t xml:space="preserve">Title 40: Protection of Environment </w:t>
      </w:r>
      <w:r w:rsidRPr="001F70F0">
        <w:rPr>
          <w:rFonts w:ascii="Arial" w:eastAsia="Times New Roman" w:hAnsi="Arial" w:cs="Arial"/>
          <w:sz w:val="15"/>
          <w:szCs w:val="15"/>
        </w:rPr>
        <w:br/>
      </w:r>
      <w:hyperlink r:id="rId6" w:history="1">
        <w:r w:rsidRPr="001F70F0">
          <w:rPr>
            <w:rFonts w:ascii="Arial" w:eastAsia="Times New Roman" w:hAnsi="Arial" w:cs="Arial"/>
            <w:color w:val="0000FF"/>
            <w:sz w:val="13"/>
          </w:rPr>
          <w:t>PART 60—STANDARDS OF PERFORMANCE FOR NEW STATIONARY SOURCES</w:t>
        </w:r>
      </w:hyperlink>
      <w:r w:rsidRPr="001F70F0">
        <w:rPr>
          <w:rFonts w:ascii="Arial" w:eastAsia="Times New Roman" w:hAnsi="Arial" w:cs="Arial"/>
          <w:sz w:val="15"/>
          <w:szCs w:val="15"/>
        </w:rPr>
        <w:t xml:space="preserve"> </w:t>
      </w:r>
    </w:p>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pict>
          <v:rect id="_x0000_i1025" style="width:0;height:1.5pt" o:hralign="center" o:hrstd="t" o:hr="t" fillcolor="gray" stroked="f"/>
        </w:pict>
      </w:r>
    </w:p>
    <w:p w:rsidR="001F70F0" w:rsidRPr="001F70F0" w:rsidRDefault="001F70F0" w:rsidP="001F70F0">
      <w:pPr>
        <w:spacing w:before="200" w:after="100" w:line="240" w:lineRule="auto"/>
        <w:outlineLvl w:val="1"/>
        <w:rPr>
          <w:rFonts w:ascii="Arial" w:eastAsia="Times New Roman" w:hAnsi="Arial" w:cs="Arial"/>
          <w:b/>
          <w:bCs/>
          <w:sz w:val="21"/>
          <w:szCs w:val="21"/>
        </w:rPr>
      </w:pPr>
      <w:bookmarkStart w:id="0" w:name="_top"/>
      <w:bookmarkEnd w:id="0"/>
      <w:r w:rsidRPr="001F70F0">
        <w:rPr>
          <w:rFonts w:ascii="Arial" w:eastAsia="Times New Roman" w:hAnsi="Arial" w:cs="Arial"/>
          <w:b/>
          <w:bCs/>
          <w:sz w:val="21"/>
          <w:szCs w:val="21"/>
        </w:rPr>
        <w:t xml:space="preserve">Subpart </w:t>
      </w:r>
      <w:proofErr w:type="gramStart"/>
      <w:r w:rsidRPr="001F70F0">
        <w:rPr>
          <w:rFonts w:ascii="Arial" w:eastAsia="Times New Roman" w:hAnsi="Arial" w:cs="Arial"/>
          <w:b/>
          <w:bCs/>
          <w:sz w:val="21"/>
          <w:szCs w:val="21"/>
        </w:rPr>
        <w:t>A—</w:t>
      </w:r>
      <w:proofErr w:type="gramEnd"/>
      <w:r w:rsidRPr="001F70F0">
        <w:rPr>
          <w:rFonts w:ascii="Arial" w:eastAsia="Times New Roman" w:hAnsi="Arial" w:cs="Arial"/>
          <w:b/>
          <w:bCs/>
          <w:sz w:val="21"/>
          <w:szCs w:val="21"/>
        </w:rPr>
        <w:t>General Provisions</w:t>
      </w:r>
    </w:p>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pict>
          <v:rect id="_x0000_i1026" style="width:0;height:1.5pt" o:hralign="center" o:hrstd="t" o:hr="t" fillcolor="gray" stroked="f"/>
        </w:pict>
      </w:r>
    </w:p>
    <w:p w:rsidR="001F70F0" w:rsidRPr="001F70F0" w:rsidRDefault="001F70F0" w:rsidP="002D4F66">
      <w:pPr>
        <w:spacing w:before="200" w:after="100" w:line="240" w:lineRule="auto"/>
        <w:outlineLvl w:val="1"/>
        <w:rPr>
          <w:rFonts w:ascii="Arial" w:eastAsia="Times New Roman" w:hAnsi="Arial" w:cs="Arial"/>
          <w:b/>
          <w:bCs/>
          <w:sz w:val="15"/>
          <w:szCs w:val="15"/>
        </w:rPr>
      </w:pPr>
      <w:bookmarkStart w:id="1" w:name="40:7.0.1.1.1.1.151.1"/>
      <w:bookmarkEnd w:id="1"/>
      <w:proofErr w:type="gramStart"/>
      <w:r w:rsidRPr="001F70F0">
        <w:rPr>
          <w:rFonts w:ascii="Arial" w:eastAsia="Times New Roman" w:hAnsi="Arial" w:cs="Arial"/>
          <w:b/>
          <w:bCs/>
          <w:sz w:val="15"/>
          <w:szCs w:val="15"/>
        </w:rPr>
        <w:t>§ 60.1   Applicability.</w:t>
      </w:r>
      <w:proofErr w:type="gramEnd"/>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(d) </w:t>
      </w:r>
      <w:r w:rsidRPr="001F70F0">
        <w:rPr>
          <w:rFonts w:ascii="Arial" w:eastAsia="Times New Roman" w:hAnsi="Arial" w:cs="Arial"/>
          <w:i/>
          <w:iCs/>
          <w:sz w:val="15"/>
          <w:szCs w:val="15"/>
        </w:rPr>
        <w:t>Site-specific standard for Merck &amp; Co., Inc.'s Stonewall Plant in Elkton, Virginia.</w:t>
      </w:r>
      <w:r w:rsidRPr="001F70F0">
        <w:rPr>
          <w:rFonts w:ascii="Arial" w:eastAsia="Times New Roman" w:hAnsi="Arial" w:cs="Arial"/>
          <w:sz w:val="15"/>
          <w:szCs w:val="15"/>
        </w:rPr>
        <w:t xml:space="preserve"> (1) This paragraph applies only to the pharmaceutical manufacturing facility, commonly referred to as the Stonewall Plant, located at Route 340 South, in Elkton, Virginia (“site”).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Notwithstanding the provisions of paragraph (d</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1F70F0" w:rsidRPr="001F70F0" w:rsidRDefault="001F70F0" w:rsidP="002D4F66">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53346, Nov. 17, 1975, as amended at 55 FR 51382, Dec. 13, 1990; 59 FR 12427, Mar. 16, 1994; 62 FR 52641, Oct. 8, 1997]</w:t>
      </w:r>
    </w:p>
    <w:p w:rsidR="001F70F0" w:rsidRPr="001F70F0" w:rsidRDefault="001F70F0" w:rsidP="002D4F66">
      <w:pPr>
        <w:spacing w:before="200" w:after="100" w:line="240" w:lineRule="auto"/>
        <w:outlineLvl w:val="1"/>
        <w:rPr>
          <w:rFonts w:ascii="Arial" w:eastAsia="Times New Roman" w:hAnsi="Arial" w:cs="Arial"/>
          <w:b/>
          <w:bCs/>
          <w:sz w:val="15"/>
          <w:szCs w:val="15"/>
        </w:rPr>
      </w:pPr>
      <w:bookmarkStart w:id="2" w:name="40:7.0.1.1.1.1.151.2"/>
      <w:bookmarkEnd w:id="2"/>
      <w:r w:rsidRPr="001F70F0">
        <w:rPr>
          <w:rFonts w:ascii="Arial" w:eastAsia="Times New Roman" w:hAnsi="Arial" w:cs="Arial"/>
          <w:b/>
          <w:bCs/>
          <w:sz w:val="15"/>
          <w:szCs w:val="15"/>
        </w:rPr>
        <w:t>§ 60.2   Definitions.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The terms used in this part are defined in the Act or in this section as follows: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Act</w:t>
      </w:r>
      <w:r w:rsidRPr="001F70F0">
        <w:rPr>
          <w:rFonts w:ascii="Arial" w:eastAsia="Times New Roman" w:hAnsi="Arial" w:cs="Arial"/>
          <w:sz w:val="15"/>
          <w:szCs w:val="15"/>
        </w:rPr>
        <w:t xml:space="preserve"> means the Clean Air Act (42 U.S.C. 7401 </w:t>
      </w:r>
      <w:r w:rsidRPr="001F70F0">
        <w:rPr>
          <w:rFonts w:ascii="Arial" w:eastAsia="Times New Roman" w:hAnsi="Arial" w:cs="Arial"/>
          <w:i/>
          <w:iCs/>
          <w:sz w:val="15"/>
          <w:szCs w:val="15"/>
        </w:rPr>
        <w:t>et seq</w:t>
      </w:r>
      <w:proofErr w:type="gramStart"/>
      <w:r w:rsidRPr="001F70F0">
        <w:rPr>
          <w:rFonts w:ascii="Arial" w:eastAsia="Times New Roman" w:hAnsi="Arial" w:cs="Arial"/>
          <w:i/>
          <w:iCs/>
          <w:sz w:val="15"/>
          <w:szCs w:val="15"/>
        </w:rPr>
        <w:t>.</w:t>
      </w:r>
      <w:r w:rsidRPr="001F70F0">
        <w:rPr>
          <w:rFonts w:ascii="Arial" w:eastAsia="Times New Roman" w:hAnsi="Arial" w:cs="Arial"/>
          <w:sz w:val="15"/>
          <w:szCs w:val="15"/>
        </w:rPr>
        <w:t xml:space="preserve"> )</w:t>
      </w:r>
      <w:proofErr w:type="gramEnd"/>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Administrator</w:t>
      </w:r>
      <w:r w:rsidRPr="001F70F0">
        <w:rPr>
          <w:rFonts w:ascii="Arial" w:eastAsia="Times New Roman" w:hAnsi="Arial" w:cs="Arial"/>
          <w:sz w:val="15"/>
          <w:szCs w:val="15"/>
        </w:rPr>
        <w:t xml:space="preserve"> means the Administrator of the Environmental Protection Agency or his authorized representative.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Affected facility</w:t>
      </w:r>
      <w:r w:rsidRPr="001F70F0">
        <w:rPr>
          <w:rFonts w:ascii="Arial" w:eastAsia="Times New Roman" w:hAnsi="Arial" w:cs="Arial"/>
          <w:sz w:val="15"/>
          <w:szCs w:val="15"/>
        </w:rPr>
        <w:t xml:space="preserve"> means, with reference to a stationary source, any apparatus to which a standard is applicable.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Alternative method</w:t>
      </w:r>
      <w:r w:rsidRPr="001F70F0">
        <w:rPr>
          <w:rFonts w:ascii="Arial" w:eastAsia="Times New Roman" w:hAnsi="Arial" w:cs="Arial"/>
          <w:sz w:val="15"/>
          <w:szCs w:val="15"/>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w:t>
      </w:r>
    </w:p>
    <w:p w:rsidR="002D4F66"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Approved permit program</w:t>
      </w:r>
      <w:r w:rsidRPr="001F70F0">
        <w:rPr>
          <w:rFonts w:ascii="Arial" w:eastAsia="Times New Roman" w:hAnsi="Arial" w:cs="Arial"/>
          <w:sz w:val="15"/>
          <w:szCs w:val="15"/>
        </w:rPr>
        <w:t xml:space="preserve"> means a State permit program approved by the Administrator as meeting the requirements of part 70 of this chapter or a Federal permit program established in this chapter pursuant to Title V of the Act (42 U.S.C. 7661).</w:t>
      </w:r>
    </w:p>
    <w:p w:rsidR="002D4F66" w:rsidRDefault="002D4F66">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Capital expenditure</w:t>
      </w:r>
      <w:r w:rsidRPr="001F70F0">
        <w:rPr>
          <w:rFonts w:ascii="Arial" w:eastAsia="Times New Roman" w:hAnsi="Arial" w:cs="Arial"/>
          <w:sz w:val="15"/>
          <w:szCs w:val="15"/>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Clean coal technology demonstration project</w:t>
      </w:r>
      <w:r w:rsidRPr="001F70F0">
        <w:rPr>
          <w:rFonts w:ascii="Arial" w:eastAsia="Times New Roman" w:hAnsi="Arial" w:cs="Arial"/>
          <w:sz w:val="15"/>
          <w:szCs w:val="15"/>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Commenced</w:t>
      </w:r>
      <w:r w:rsidRPr="001F70F0">
        <w:rPr>
          <w:rFonts w:ascii="Arial" w:eastAsia="Times New Roman" w:hAnsi="Arial" w:cs="Arial"/>
          <w:sz w:val="15"/>
          <w:szCs w:val="15"/>
        </w:rPr>
        <w:t xml:space="preserve"> means, with respect to the definition of </w:t>
      </w:r>
      <w:r w:rsidRPr="001F70F0">
        <w:rPr>
          <w:rFonts w:ascii="Arial" w:eastAsia="Times New Roman" w:hAnsi="Arial" w:cs="Arial"/>
          <w:i/>
          <w:iCs/>
          <w:sz w:val="15"/>
          <w:szCs w:val="15"/>
        </w:rPr>
        <w:t>new source</w:t>
      </w:r>
      <w:r w:rsidRPr="001F70F0">
        <w:rPr>
          <w:rFonts w:ascii="Arial" w:eastAsia="Times New Roman" w:hAnsi="Arial" w:cs="Arial"/>
          <w:sz w:val="15"/>
          <w:szCs w:val="15"/>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Construction</w:t>
      </w:r>
      <w:r w:rsidRPr="001F70F0">
        <w:rPr>
          <w:rFonts w:ascii="Arial" w:eastAsia="Times New Roman" w:hAnsi="Arial" w:cs="Arial"/>
          <w:sz w:val="15"/>
          <w:szCs w:val="15"/>
        </w:rPr>
        <w:t xml:space="preserve"> means fabrication, erection, or installation of an affected facility.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Continuous monitoring system</w:t>
      </w:r>
      <w:r w:rsidRPr="001F70F0">
        <w:rPr>
          <w:rFonts w:ascii="Arial" w:eastAsia="Times New Roman" w:hAnsi="Arial" w:cs="Arial"/>
          <w:sz w:val="15"/>
          <w:szCs w:val="15"/>
        </w:rPr>
        <w:t xml:space="preserve"> means the total equipment, required under the emission monitoring sections in applicable subparts, used to sample and condition (if applicable), to analyze, and to provide a permanent record of emissions or process parameters.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Electric utility steam generating unit</w:t>
      </w:r>
      <w:r w:rsidRPr="001F70F0">
        <w:rPr>
          <w:rFonts w:ascii="Arial" w:eastAsia="Times New Roman" w:hAnsi="Arial" w:cs="Arial"/>
          <w:sz w:val="15"/>
          <w:szCs w:val="15"/>
        </w:rPr>
        <w:t xml:space="preserve"> means any steam electric generating unit that is constructed for the purpose of supplying more than one-third of its potential electric output capacity and more than 25 MW electrical </w:t>
      </w:r>
      <w:proofErr w:type="gramStart"/>
      <w:r w:rsidRPr="001F70F0">
        <w:rPr>
          <w:rFonts w:ascii="Arial" w:eastAsia="Times New Roman" w:hAnsi="Arial" w:cs="Arial"/>
          <w:sz w:val="15"/>
          <w:szCs w:val="15"/>
        </w:rPr>
        <w:t>output</w:t>
      </w:r>
      <w:proofErr w:type="gramEnd"/>
      <w:r w:rsidRPr="001F70F0">
        <w:rPr>
          <w:rFonts w:ascii="Arial" w:eastAsia="Times New Roman" w:hAnsi="Arial" w:cs="Arial"/>
          <w:sz w:val="15"/>
          <w:szCs w:val="15"/>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Equivalent method</w:t>
      </w:r>
      <w:r w:rsidRPr="001F70F0">
        <w:rPr>
          <w:rFonts w:ascii="Arial" w:eastAsia="Times New Roman" w:hAnsi="Arial" w:cs="Arial"/>
          <w:sz w:val="15"/>
          <w:szCs w:val="15"/>
        </w:rPr>
        <w:t xml:space="preserve"> means any method of sampling and analyzing for an air pollutant which has been demonstrated to the Administrator's satisfaction to have a consistent and quantitatively known relationship to the reference method, under specified conditions.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Excess Emissions and Monitoring Systems Performance Report</w:t>
      </w:r>
      <w:r w:rsidRPr="001F70F0">
        <w:rPr>
          <w:rFonts w:ascii="Arial" w:eastAsia="Times New Roman" w:hAnsi="Arial" w:cs="Arial"/>
          <w:sz w:val="15"/>
          <w:szCs w:val="15"/>
        </w:rPr>
        <w:t xml:space="preserve"> is a report that must be submitted periodically by a source in order to provide data on its compliance with stated emission limits and operating parameters, and on the performance of its monitoring systems.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Existing facility</w:t>
      </w:r>
      <w:r w:rsidRPr="001F70F0">
        <w:rPr>
          <w:rFonts w:ascii="Arial" w:eastAsia="Times New Roman" w:hAnsi="Arial" w:cs="Arial"/>
          <w:sz w:val="15"/>
          <w:szCs w:val="15"/>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Force majeure</w:t>
      </w:r>
      <w:r w:rsidRPr="001F70F0">
        <w:rPr>
          <w:rFonts w:ascii="Arial" w:eastAsia="Times New Roman" w:hAnsi="Arial" w:cs="Arial"/>
          <w:sz w:val="15"/>
          <w:szCs w:val="15"/>
        </w:rPr>
        <w:t xml:space="preserve"> means, for purposes of §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proofErr w:type="spellStart"/>
      <w:r w:rsidRPr="001F70F0">
        <w:rPr>
          <w:rFonts w:ascii="Arial" w:eastAsia="Times New Roman" w:hAnsi="Arial" w:cs="Arial"/>
          <w:i/>
          <w:iCs/>
          <w:sz w:val="15"/>
          <w:szCs w:val="15"/>
        </w:rPr>
        <w:t>Isokinetic</w:t>
      </w:r>
      <w:proofErr w:type="spellEnd"/>
      <w:r w:rsidRPr="001F70F0">
        <w:rPr>
          <w:rFonts w:ascii="Arial" w:eastAsia="Times New Roman" w:hAnsi="Arial" w:cs="Arial"/>
          <w:i/>
          <w:iCs/>
          <w:sz w:val="15"/>
          <w:szCs w:val="15"/>
        </w:rPr>
        <w:t xml:space="preserve"> sampling</w:t>
      </w:r>
      <w:r w:rsidRPr="001F70F0">
        <w:rPr>
          <w:rFonts w:ascii="Arial" w:eastAsia="Times New Roman" w:hAnsi="Arial" w:cs="Arial"/>
          <w:sz w:val="15"/>
          <w:szCs w:val="15"/>
        </w:rPr>
        <w:t xml:space="preserve"> means sampling in which the linear velocity of the gas entering the sampling nozzle is equal to that of the undisturbed gas stream at the sample point.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Issuance</w:t>
      </w:r>
      <w:r w:rsidRPr="001F70F0">
        <w:rPr>
          <w:rFonts w:ascii="Arial" w:eastAsia="Times New Roman" w:hAnsi="Arial" w:cs="Arial"/>
          <w:sz w:val="15"/>
          <w:szCs w:val="15"/>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Malfunction</w:t>
      </w:r>
      <w:r w:rsidRPr="001F70F0">
        <w:rPr>
          <w:rFonts w:ascii="Arial" w:eastAsia="Times New Roman" w:hAnsi="Arial" w:cs="Arial"/>
          <w:sz w:val="15"/>
          <w:szCs w:val="15"/>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Modification</w:t>
      </w:r>
      <w:r w:rsidRPr="001F70F0">
        <w:rPr>
          <w:rFonts w:ascii="Arial" w:eastAsia="Times New Roman" w:hAnsi="Arial" w:cs="Arial"/>
          <w:sz w:val="15"/>
          <w:szCs w:val="15"/>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D4F66"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Monitoring device</w:t>
      </w:r>
      <w:r w:rsidRPr="001F70F0">
        <w:rPr>
          <w:rFonts w:ascii="Arial" w:eastAsia="Times New Roman" w:hAnsi="Arial" w:cs="Arial"/>
          <w:sz w:val="15"/>
          <w:szCs w:val="15"/>
        </w:rPr>
        <w:t xml:space="preserve"> means the total equipment, required under the monitoring of operations sections in applicable subparts, used to measure and record (if applicable) process parameters.</w:t>
      </w:r>
    </w:p>
    <w:p w:rsidR="002D4F66" w:rsidRDefault="002D4F66">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i/>
          <w:iCs/>
          <w:sz w:val="15"/>
          <w:szCs w:val="15"/>
        </w:rPr>
        <w:t>Nitrogen oxides</w:t>
      </w:r>
      <w:r w:rsidRPr="001F70F0">
        <w:rPr>
          <w:rFonts w:ascii="Arial" w:eastAsia="Times New Roman" w:hAnsi="Arial" w:cs="Arial"/>
          <w:sz w:val="15"/>
          <w:szCs w:val="15"/>
        </w:rPr>
        <w:t xml:space="preserve"> means</w:t>
      </w:r>
      <w:proofErr w:type="gramEnd"/>
      <w:r w:rsidRPr="001F70F0">
        <w:rPr>
          <w:rFonts w:ascii="Arial" w:eastAsia="Times New Roman" w:hAnsi="Arial" w:cs="Arial"/>
          <w:sz w:val="15"/>
          <w:szCs w:val="15"/>
        </w:rPr>
        <w:t xml:space="preserve"> all oxides of nitrogen except nitrous oxide, as measured by test methods set forth in this 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One-hour period</w:t>
      </w:r>
      <w:r w:rsidRPr="001F70F0">
        <w:rPr>
          <w:rFonts w:ascii="Arial" w:eastAsia="Times New Roman" w:hAnsi="Arial" w:cs="Arial"/>
          <w:sz w:val="15"/>
          <w:szCs w:val="15"/>
        </w:rPr>
        <w:t xml:space="preserve"> means any 60-minute period commencing on the hour.</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Opacity</w:t>
      </w:r>
      <w:r w:rsidRPr="001F70F0">
        <w:rPr>
          <w:rFonts w:ascii="Arial" w:eastAsia="Times New Roman" w:hAnsi="Arial" w:cs="Arial"/>
          <w:sz w:val="15"/>
          <w:szCs w:val="15"/>
        </w:rPr>
        <w:t xml:space="preserve"> means the degree to which emissions reduce the transmission of light and obscure the view of an object in the background.</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Owner or operator</w:t>
      </w:r>
      <w:r w:rsidRPr="001F70F0">
        <w:rPr>
          <w:rFonts w:ascii="Arial" w:eastAsia="Times New Roman" w:hAnsi="Arial" w:cs="Arial"/>
          <w:sz w:val="15"/>
          <w:szCs w:val="15"/>
        </w:rPr>
        <w:t xml:space="preserve"> means any person who </w:t>
      </w:r>
      <w:proofErr w:type="gramStart"/>
      <w:r w:rsidRPr="001F70F0">
        <w:rPr>
          <w:rFonts w:ascii="Arial" w:eastAsia="Times New Roman" w:hAnsi="Arial" w:cs="Arial"/>
          <w:sz w:val="15"/>
          <w:szCs w:val="15"/>
        </w:rPr>
        <w:t>owns,</w:t>
      </w:r>
      <w:proofErr w:type="gramEnd"/>
      <w:r w:rsidRPr="001F70F0">
        <w:rPr>
          <w:rFonts w:ascii="Arial" w:eastAsia="Times New Roman" w:hAnsi="Arial" w:cs="Arial"/>
          <w:sz w:val="15"/>
          <w:szCs w:val="15"/>
        </w:rPr>
        <w:t xml:space="preserve"> leases, operates, controls, or supervises an affected facility or a stationary source of which an affected facility is a 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Part 70 permit</w:t>
      </w:r>
      <w:r w:rsidRPr="001F70F0">
        <w:rPr>
          <w:rFonts w:ascii="Arial" w:eastAsia="Times New Roman" w:hAnsi="Arial" w:cs="Arial"/>
          <w:sz w:val="15"/>
          <w:szCs w:val="15"/>
        </w:rPr>
        <w:t xml:space="preserve"> means any permit issued, renewed, or revised pursuant to part 70 of this chapter.</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Particulate matter</w:t>
      </w:r>
      <w:r w:rsidRPr="001F70F0">
        <w:rPr>
          <w:rFonts w:ascii="Arial" w:eastAsia="Times New Roman" w:hAnsi="Arial" w:cs="Arial"/>
          <w:sz w:val="15"/>
          <w:szCs w:val="15"/>
        </w:rPr>
        <w:t xml:space="preserve"> means any finely divided solid or liquid material, other than uncombined water, as measured by the reference methods specified under each applicable subpart, or an equivalent or alternative method.</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Permit program</w:t>
      </w:r>
      <w:r w:rsidRPr="001F70F0">
        <w:rPr>
          <w:rFonts w:ascii="Arial" w:eastAsia="Times New Roman" w:hAnsi="Arial" w:cs="Arial"/>
          <w:sz w:val="15"/>
          <w:szCs w:val="15"/>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Permitting authority</w:t>
      </w:r>
      <w:r w:rsidRPr="001F70F0">
        <w:rPr>
          <w:rFonts w:ascii="Arial" w:eastAsia="Times New Roman" w:hAnsi="Arial" w:cs="Arial"/>
          <w:sz w:val="15"/>
          <w:szCs w:val="15"/>
        </w:rPr>
        <w:t xml:space="preserve"> means: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State air pollution control agency, local agency, other State agency, or other agency authorized by the Administrator to carry out a permit program under part 70 of this chapter; or</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 The Administrator, in the case of EPA-implemented </w:t>
      </w:r>
      <w:proofErr w:type="gramStart"/>
      <w:r w:rsidRPr="001F70F0">
        <w:rPr>
          <w:rFonts w:ascii="Arial" w:eastAsia="Times New Roman" w:hAnsi="Arial" w:cs="Arial"/>
          <w:sz w:val="15"/>
          <w:szCs w:val="15"/>
        </w:rPr>
        <w:t>permit</w:t>
      </w:r>
      <w:proofErr w:type="gramEnd"/>
      <w:r w:rsidRPr="001F70F0">
        <w:rPr>
          <w:rFonts w:ascii="Arial" w:eastAsia="Times New Roman" w:hAnsi="Arial" w:cs="Arial"/>
          <w:sz w:val="15"/>
          <w:szCs w:val="15"/>
        </w:rPr>
        <w:t xml:space="preserve"> programs under title V of the Act (42 U.S.C. 7661).</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Proportional sampling</w:t>
      </w:r>
      <w:r w:rsidRPr="001F70F0">
        <w:rPr>
          <w:rFonts w:ascii="Arial" w:eastAsia="Times New Roman" w:hAnsi="Arial" w:cs="Arial"/>
          <w:sz w:val="15"/>
          <w:szCs w:val="15"/>
        </w:rPr>
        <w:t xml:space="preserve"> means sampling at a rate that produces a constant ratio of sampling rate to stack gas flow rate.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Reactivation of a very clean coal-fired electric utility steam generating unit</w:t>
      </w:r>
      <w:r w:rsidRPr="001F70F0">
        <w:rPr>
          <w:rFonts w:ascii="Arial" w:eastAsia="Times New Roman" w:hAnsi="Arial" w:cs="Arial"/>
          <w:sz w:val="15"/>
          <w:szCs w:val="15"/>
        </w:rPr>
        <w:t xml:space="preserve"> means any physical change or change in the method of operation associated with the commencement of commercial operations by a coal-fired utility unit after a period of discontinued operation where the unit: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Has not been in operation for the two-year period prior to the enactment of the Clean Air Act Amendments of 1990, and the emissions from such unit continue to be carried in the permitting authority's emissions inventory at the time of enactment;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Was equipped prior to shut-down with a continuous system of emissions control that achieves a removal efficiency for sulfur dioxide of no less than 85 percent and a removal efficiency for particulates of no less than 98 percent;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Is equipped with low-NO</w:t>
      </w:r>
      <w:r w:rsidRPr="001F70F0">
        <w:rPr>
          <w:rFonts w:ascii="Arial" w:eastAsia="Times New Roman" w:hAnsi="Arial" w:cs="Arial"/>
          <w:sz w:val="11"/>
          <w:szCs w:val="11"/>
          <w:vertAlign w:val="subscript"/>
        </w:rPr>
        <w:t>X</w:t>
      </w:r>
      <w:r w:rsidRPr="001F70F0">
        <w:rPr>
          <w:rFonts w:ascii="Arial" w:eastAsia="Times New Roman" w:hAnsi="Arial" w:cs="Arial"/>
          <w:sz w:val="15"/>
          <w:szCs w:val="15"/>
        </w:rPr>
        <w:t xml:space="preserve"> burners prior to the time of commencement of operations following reactivation; and</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Is otherwise in compliance with the requirements of the Clean Air Act.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Reference method</w:t>
      </w:r>
      <w:r w:rsidRPr="001F70F0">
        <w:rPr>
          <w:rFonts w:ascii="Arial" w:eastAsia="Times New Roman" w:hAnsi="Arial" w:cs="Arial"/>
          <w:sz w:val="15"/>
          <w:szCs w:val="15"/>
        </w:rPr>
        <w:t xml:space="preserve"> means any method of sampling and analyzing for an air pollutant as specified in the applicable subpart.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Repowering</w:t>
      </w:r>
      <w:r w:rsidRPr="001F70F0">
        <w:rPr>
          <w:rFonts w:ascii="Arial" w:eastAsia="Times New Roman" w:hAnsi="Arial" w:cs="Arial"/>
          <w:sz w:val="15"/>
          <w:szCs w:val="15"/>
        </w:rPr>
        <w:t xml:space="preserve"> means replacement of an existing coal-fired boiler with one of the following clean coal technologies: atmospheric or pressurized fluidized bed combustion, integrated gasification combined cycle, </w:t>
      </w:r>
      <w:proofErr w:type="spellStart"/>
      <w:r w:rsidRPr="001F70F0">
        <w:rPr>
          <w:rFonts w:ascii="Arial" w:eastAsia="Times New Roman" w:hAnsi="Arial" w:cs="Arial"/>
          <w:sz w:val="15"/>
          <w:szCs w:val="15"/>
        </w:rPr>
        <w:t>magnetohydrodynamics</w:t>
      </w:r>
      <w:proofErr w:type="spellEnd"/>
      <w:r w:rsidRPr="001F70F0">
        <w:rPr>
          <w:rFonts w:ascii="Arial" w:eastAsia="Times New Roman" w:hAnsi="Arial" w:cs="Arial"/>
          <w:sz w:val="15"/>
          <w:szCs w:val="15"/>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1F70F0">
        <w:rPr>
          <w:rFonts w:ascii="Arial" w:eastAsia="Times New Roman" w:hAnsi="Arial" w:cs="Arial"/>
          <w:sz w:val="15"/>
          <w:szCs w:val="15"/>
        </w:rPr>
        <w:t>has</w:t>
      </w:r>
      <w:proofErr w:type="gramEnd"/>
      <w:r w:rsidRPr="001F70F0">
        <w:rPr>
          <w:rFonts w:ascii="Arial" w:eastAsia="Times New Roman" w:hAnsi="Arial" w:cs="Arial"/>
          <w:sz w:val="15"/>
          <w:szCs w:val="15"/>
        </w:rPr>
        <w:t xml:space="preserve"> been awarded clean coal technology demonstration funding as of January 1, 1991, by the Department of Energy.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Run</w:t>
      </w:r>
      <w:r w:rsidRPr="001F70F0">
        <w:rPr>
          <w:rFonts w:ascii="Arial" w:eastAsia="Times New Roman" w:hAnsi="Arial" w:cs="Arial"/>
          <w:sz w:val="15"/>
          <w:szCs w:val="15"/>
        </w:rPr>
        <w:t xml:space="preserve"> means the net period of time during which an emission sample is collected. Unless otherwise specified, a run may be either intermittent or continuous within the limits of good engineering practice.</w:t>
      </w:r>
    </w:p>
    <w:p w:rsidR="002D4F66"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Shutdown</w:t>
      </w:r>
      <w:r w:rsidRPr="001F70F0">
        <w:rPr>
          <w:rFonts w:ascii="Arial" w:eastAsia="Times New Roman" w:hAnsi="Arial" w:cs="Arial"/>
          <w:sz w:val="15"/>
          <w:szCs w:val="15"/>
        </w:rPr>
        <w:t xml:space="preserve"> means the cessation of operation of an affected facility for any purpose.</w:t>
      </w:r>
    </w:p>
    <w:p w:rsidR="002D4F66" w:rsidRDefault="002D4F66">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Six-minute period</w:t>
      </w:r>
      <w:r w:rsidRPr="001F70F0">
        <w:rPr>
          <w:rFonts w:ascii="Arial" w:eastAsia="Times New Roman" w:hAnsi="Arial" w:cs="Arial"/>
          <w:sz w:val="15"/>
          <w:szCs w:val="15"/>
        </w:rPr>
        <w:t xml:space="preserve"> means any one of the 10 equal parts of a one-hour period.</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Standard</w:t>
      </w:r>
      <w:r w:rsidRPr="001F70F0">
        <w:rPr>
          <w:rFonts w:ascii="Arial" w:eastAsia="Times New Roman" w:hAnsi="Arial" w:cs="Arial"/>
          <w:sz w:val="15"/>
          <w:szCs w:val="15"/>
        </w:rPr>
        <w:t xml:space="preserve"> means a standard of performance proposed or promulgated under this 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i/>
          <w:iCs/>
          <w:sz w:val="15"/>
          <w:szCs w:val="15"/>
        </w:rPr>
        <w:t>Standard conditions</w:t>
      </w:r>
      <w:r w:rsidRPr="001F70F0">
        <w:rPr>
          <w:rFonts w:ascii="Arial" w:eastAsia="Times New Roman" w:hAnsi="Arial" w:cs="Arial"/>
          <w:sz w:val="15"/>
          <w:szCs w:val="15"/>
        </w:rPr>
        <w:t xml:space="preserve"> means</w:t>
      </w:r>
      <w:proofErr w:type="gramEnd"/>
      <w:r w:rsidRPr="001F70F0">
        <w:rPr>
          <w:rFonts w:ascii="Arial" w:eastAsia="Times New Roman" w:hAnsi="Arial" w:cs="Arial"/>
          <w:sz w:val="15"/>
          <w:szCs w:val="15"/>
        </w:rPr>
        <w:t xml:space="preserve"> a temperature of 293 K (68F) and a pressure of 101.3 kilopascals (29.92 in Hg).</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Startup</w:t>
      </w:r>
      <w:r w:rsidRPr="001F70F0">
        <w:rPr>
          <w:rFonts w:ascii="Arial" w:eastAsia="Times New Roman" w:hAnsi="Arial" w:cs="Arial"/>
          <w:sz w:val="15"/>
          <w:szCs w:val="15"/>
        </w:rPr>
        <w:t xml:space="preserve"> means the setting in operation of an affected facility for any purpose.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State</w:t>
      </w:r>
      <w:r w:rsidRPr="001F70F0">
        <w:rPr>
          <w:rFonts w:ascii="Arial" w:eastAsia="Times New Roman" w:hAnsi="Arial" w:cs="Arial"/>
          <w:sz w:val="15"/>
          <w:szCs w:val="15"/>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Stationary source</w:t>
      </w:r>
      <w:r w:rsidRPr="001F70F0">
        <w:rPr>
          <w:rFonts w:ascii="Arial" w:eastAsia="Times New Roman" w:hAnsi="Arial" w:cs="Arial"/>
          <w:sz w:val="15"/>
          <w:szCs w:val="15"/>
        </w:rPr>
        <w:t xml:space="preserve"> means any building, structure, facility, or installation which emits or may emit any air pollutant.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Title V permit</w:t>
      </w:r>
      <w:r w:rsidRPr="001F70F0">
        <w:rPr>
          <w:rFonts w:ascii="Arial" w:eastAsia="Times New Roman" w:hAnsi="Arial" w:cs="Arial"/>
          <w:sz w:val="15"/>
          <w:szCs w:val="15"/>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Volatile Organic Compound</w:t>
      </w:r>
      <w:r w:rsidRPr="001F70F0">
        <w:rPr>
          <w:rFonts w:ascii="Arial" w:eastAsia="Times New Roman" w:hAnsi="Arial" w:cs="Arial"/>
          <w:sz w:val="15"/>
          <w:szCs w:val="15"/>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1F70F0" w:rsidRPr="001F70F0" w:rsidRDefault="001F70F0" w:rsidP="002D4F66">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[44 FR 55173, Sept. 25, 1979, as amended at 45 FR 5617, Jan. 23, 1980; 45 FR 85415, Dec. 24, 1980; 54 FR 6662, Feb. 14, 1989; 55 FR 51382, Dec. 13, 1990; 57 FR 32338, July 21, 1992; 59 FR 12427, Mar. 16, 1994; 72 FR 27442, May 16, 2007]</w:t>
      </w:r>
    </w:p>
    <w:p w:rsidR="001F70F0" w:rsidRPr="001F70F0" w:rsidRDefault="001F70F0" w:rsidP="002D4F66">
      <w:pPr>
        <w:spacing w:before="200" w:after="100" w:line="240" w:lineRule="auto"/>
        <w:outlineLvl w:val="1"/>
        <w:rPr>
          <w:rFonts w:ascii="Arial" w:eastAsia="Times New Roman" w:hAnsi="Arial" w:cs="Arial"/>
          <w:b/>
          <w:bCs/>
          <w:sz w:val="15"/>
          <w:szCs w:val="15"/>
        </w:rPr>
      </w:pPr>
      <w:bookmarkStart w:id="3" w:name="40:7.0.1.1.1.1.151.3"/>
      <w:bookmarkEnd w:id="3"/>
      <w:r w:rsidRPr="001F70F0">
        <w:rPr>
          <w:rFonts w:ascii="Arial" w:eastAsia="Times New Roman" w:hAnsi="Arial" w:cs="Arial"/>
          <w:b/>
          <w:bCs/>
          <w:sz w:val="15"/>
          <w:szCs w:val="15"/>
        </w:rPr>
        <w:t>§ 60.3   Units and abbreviations.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Used in this part are abbreviations and symbols of units of measure. These are defined as follows: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System International (SI) units of measure:</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A—ampere</w:t>
      </w:r>
    </w:p>
    <w:p w:rsidR="001F70F0" w:rsidRPr="001F70F0" w:rsidRDefault="001F70F0" w:rsidP="002D4F66">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g—</w:t>
      </w:r>
      <w:proofErr w:type="gramEnd"/>
      <w:r w:rsidRPr="001F70F0">
        <w:rPr>
          <w:rFonts w:ascii="Arial" w:eastAsia="Times New Roman" w:hAnsi="Arial" w:cs="Arial"/>
          <w:sz w:val="14"/>
          <w:szCs w:val="14"/>
        </w:rPr>
        <w:t>gram</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Hz—hertz</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J—joule</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K—degree Kelvin</w:t>
      </w:r>
    </w:p>
    <w:p w:rsidR="001F70F0" w:rsidRPr="001F70F0" w:rsidRDefault="001F70F0" w:rsidP="002D4F66">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kg—</w:t>
      </w:r>
      <w:proofErr w:type="gramEnd"/>
      <w:r w:rsidRPr="001F70F0">
        <w:rPr>
          <w:rFonts w:ascii="Arial" w:eastAsia="Times New Roman" w:hAnsi="Arial" w:cs="Arial"/>
          <w:sz w:val="14"/>
          <w:szCs w:val="14"/>
        </w:rPr>
        <w:t>kilogram</w:t>
      </w:r>
    </w:p>
    <w:p w:rsidR="001F70F0" w:rsidRPr="001F70F0" w:rsidRDefault="001F70F0" w:rsidP="002D4F66">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m—</w:t>
      </w:r>
      <w:proofErr w:type="gramEnd"/>
      <w:r w:rsidRPr="001F70F0">
        <w:rPr>
          <w:rFonts w:ascii="Arial" w:eastAsia="Times New Roman" w:hAnsi="Arial" w:cs="Arial"/>
          <w:sz w:val="14"/>
          <w:szCs w:val="14"/>
        </w:rPr>
        <w:t>meter</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w:t>
      </w:r>
      <w:r w:rsidRPr="001F70F0">
        <w:rPr>
          <w:rFonts w:ascii="Arial" w:eastAsia="Times New Roman" w:hAnsi="Arial" w:cs="Arial"/>
          <w:sz w:val="10"/>
          <w:szCs w:val="10"/>
          <w:vertAlign w:val="superscript"/>
        </w:rPr>
        <w:t>3</w:t>
      </w:r>
      <w:r w:rsidRPr="001F70F0">
        <w:rPr>
          <w:rFonts w:ascii="Arial" w:eastAsia="Times New Roman" w:hAnsi="Arial" w:cs="Arial"/>
          <w:sz w:val="14"/>
          <w:szCs w:val="14"/>
        </w:rPr>
        <w:t xml:space="preserve"> —cubic meter</w:t>
      </w:r>
    </w:p>
    <w:p w:rsidR="001F70F0" w:rsidRPr="001F70F0" w:rsidRDefault="001F70F0" w:rsidP="002D4F66">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mg—</w:t>
      </w:r>
      <w:proofErr w:type="gramEnd"/>
      <w:r w:rsidRPr="001F70F0">
        <w:rPr>
          <w:rFonts w:ascii="Arial" w:eastAsia="Times New Roman" w:hAnsi="Arial" w:cs="Arial"/>
          <w:sz w:val="14"/>
          <w:szCs w:val="14"/>
        </w:rPr>
        <w:t>milligram—10 </w:t>
      </w:r>
      <w:r w:rsidRPr="001F70F0">
        <w:rPr>
          <w:rFonts w:ascii="Arial" w:eastAsia="Times New Roman" w:hAnsi="Arial" w:cs="Arial"/>
          <w:sz w:val="10"/>
          <w:szCs w:val="10"/>
          <w:vertAlign w:val="superscript"/>
        </w:rPr>
        <w:t>−3</w:t>
      </w:r>
      <w:r w:rsidRPr="001F70F0">
        <w:rPr>
          <w:rFonts w:ascii="Arial" w:eastAsia="Times New Roman" w:hAnsi="Arial" w:cs="Arial"/>
          <w:sz w:val="14"/>
          <w:szCs w:val="14"/>
        </w:rPr>
        <w:t xml:space="preserve"> gram</w:t>
      </w:r>
    </w:p>
    <w:p w:rsidR="001F70F0" w:rsidRPr="001F70F0" w:rsidRDefault="001F70F0" w:rsidP="002D4F66">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mm—</w:t>
      </w:r>
      <w:proofErr w:type="gramEnd"/>
      <w:r w:rsidRPr="001F70F0">
        <w:rPr>
          <w:rFonts w:ascii="Arial" w:eastAsia="Times New Roman" w:hAnsi="Arial" w:cs="Arial"/>
          <w:sz w:val="14"/>
          <w:szCs w:val="14"/>
        </w:rPr>
        <w:t>millimeter—10 </w:t>
      </w:r>
      <w:r w:rsidRPr="001F70F0">
        <w:rPr>
          <w:rFonts w:ascii="Arial" w:eastAsia="Times New Roman" w:hAnsi="Arial" w:cs="Arial"/>
          <w:sz w:val="10"/>
          <w:szCs w:val="10"/>
          <w:vertAlign w:val="superscript"/>
        </w:rPr>
        <w:t>−3</w:t>
      </w:r>
      <w:r w:rsidRPr="001F70F0">
        <w:rPr>
          <w:rFonts w:ascii="Arial" w:eastAsia="Times New Roman" w:hAnsi="Arial" w:cs="Arial"/>
          <w:sz w:val="14"/>
          <w:szCs w:val="14"/>
        </w:rPr>
        <w:t xml:space="preserve"> meter</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Mg—megagram—10</w:t>
      </w:r>
      <w:r w:rsidRPr="001F70F0">
        <w:rPr>
          <w:rFonts w:ascii="Arial" w:eastAsia="Times New Roman" w:hAnsi="Arial" w:cs="Arial"/>
          <w:sz w:val="10"/>
          <w:szCs w:val="10"/>
          <w:vertAlign w:val="superscript"/>
        </w:rPr>
        <w:t>6</w:t>
      </w:r>
      <w:r w:rsidRPr="001F70F0">
        <w:rPr>
          <w:rFonts w:ascii="Arial" w:eastAsia="Times New Roman" w:hAnsi="Arial" w:cs="Arial"/>
          <w:sz w:val="14"/>
          <w:szCs w:val="14"/>
        </w:rPr>
        <w:t xml:space="preserve"> gram</w:t>
      </w:r>
    </w:p>
    <w:p w:rsidR="001F70F0" w:rsidRPr="001F70F0" w:rsidRDefault="001F70F0" w:rsidP="002D4F66">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mol—</w:t>
      </w:r>
      <w:proofErr w:type="gramEnd"/>
      <w:r w:rsidRPr="001F70F0">
        <w:rPr>
          <w:rFonts w:ascii="Arial" w:eastAsia="Times New Roman" w:hAnsi="Arial" w:cs="Arial"/>
          <w:sz w:val="14"/>
          <w:szCs w:val="14"/>
        </w:rPr>
        <w:t>mole</w:t>
      </w:r>
    </w:p>
    <w:p w:rsidR="002D4F66"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w:t>
      </w:r>
      <w:proofErr w:type="spellStart"/>
      <w:r w:rsidRPr="001F70F0">
        <w:rPr>
          <w:rFonts w:ascii="Arial" w:eastAsia="Times New Roman" w:hAnsi="Arial" w:cs="Arial"/>
          <w:sz w:val="14"/>
          <w:szCs w:val="14"/>
        </w:rPr>
        <w:t>newton</w:t>
      </w:r>
      <w:proofErr w:type="spellEnd"/>
    </w:p>
    <w:p w:rsidR="002D4F66" w:rsidRDefault="002D4F66">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1F70F0">
      <w:pPr>
        <w:spacing w:before="200" w:after="100" w:line="240" w:lineRule="auto"/>
        <w:ind w:left="480" w:hanging="480"/>
        <w:jc w:val="center"/>
        <w:rPr>
          <w:rFonts w:ascii="Arial" w:eastAsia="Times New Roman" w:hAnsi="Arial" w:cs="Arial"/>
          <w:sz w:val="14"/>
          <w:szCs w:val="14"/>
        </w:rPr>
      </w:pP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ng—</w:t>
      </w:r>
      <w:proofErr w:type="gramEnd"/>
      <w:r w:rsidRPr="001F70F0">
        <w:rPr>
          <w:rFonts w:ascii="Arial" w:eastAsia="Times New Roman" w:hAnsi="Arial" w:cs="Arial"/>
          <w:sz w:val="14"/>
          <w:szCs w:val="14"/>
        </w:rPr>
        <w:t>nanogram—10 </w:t>
      </w:r>
      <w:r w:rsidRPr="001F70F0">
        <w:rPr>
          <w:rFonts w:ascii="Arial" w:eastAsia="Times New Roman" w:hAnsi="Arial" w:cs="Arial"/>
          <w:sz w:val="10"/>
          <w:szCs w:val="10"/>
          <w:vertAlign w:val="superscript"/>
        </w:rPr>
        <w:t>−9</w:t>
      </w:r>
      <w:r w:rsidRPr="001F70F0">
        <w:rPr>
          <w:rFonts w:ascii="Arial" w:eastAsia="Times New Roman" w:hAnsi="Arial" w:cs="Arial"/>
          <w:sz w:val="14"/>
          <w:szCs w:val="14"/>
        </w:rPr>
        <w:t xml:space="preserve"> gram</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nm—</w:t>
      </w:r>
      <w:proofErr w:type="gramEnd"/>
      <w:r w:rsidRPr="001F70F0">
        <w:rPr>
          <w:rFonts w:ascii="Arial" w:eastAsia="Times New Roman" w:hAnsi="Arial" w:cs="Arial"/>
          <w:sz w:val="14"/>
          <w:szCs w:val="14"/>
        </w:rPr>
        <w:t>nanometer—10 </w:t>
      </w:r>
      <w:r w:rsidRPr="001F70F0">
        <w:rPr>
          <w:rFonts w:ascii="Arial" w:eastAsia="Times New Roman" w:hAnsi="Arial" w:cs="Arial"/>
          <w:sz w:val="10"/>
          <w:szCs w:val="10"/>
          <w:vertAlign w:val="superscript"/>
        </w:rPr>
        <w:t>−9</w:t>
      </w:r>
      <w:r w:rsidRPr="001F70F0">
        <w:rPr>
          <w:rFonts w:ascii="Arial" w:eastAsia="Times New Roman" w:hAnsi="Arial" w:cs="Arial"/>
          <w:sz w:val="14"/>
          <w:szCs w:val="14"/>
        </w:rPr>
        <w:t xml:space="preserve"> meter</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Pa—</w:t>
      </w:r>
      <w:proofErr w:type="spellStart"/>
      <w:r w:rsidRPr="001F70F0">
        <w:rPr>
          <w:rFonts w:ascii="Arial" w:eastAsia="Times New Roman" w:hAnsi="Arial" w:cs="Arial"/>
          <w:sz w:val="14"/>
          <w:szCs w:val="14"/>
        </w:rPr>
        <w:t>pascal</w:t>
      </w:r>
      <w:proofErr w:type="spell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w:t>
      </w:r>
      <w:proofErr w:type="gramEnd"/>
      <w:r w:rsidRPr="001F70F0">
        <w:rPr>
          <w:rFonts w:ascii="Arial" w:eastAsia="Times New Roman" w:hAnsi="Arial" w:cs="Arial"/>
          <w:sz w:val="14"/>
          <w:szCs w:val="14"/>
        </w:rPr>
        <w:t>second</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V—volt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W—watt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Ω—ohm</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µg—microgram—10 </w:t>
      </w:r>
      <w:r w:rsidRPr="001F70F0">
        <w:rPr>
          <w:rFonts w:ascii="Arial" w:eastAsia="Times New Roman" w:hAnsi="Arial" w:cs="Arial"/>
          <w:sz w:val="10"/>
          <w:szCs w:val="10"/>
          <w:vertAlign w:val="superscript"/>
        </w:rPr>
        <w:t>−6</w:t>
      </w:r>
      <w:r w:rsidRPr="001F70F0">
        <w:rPr>
          <w:rFonts w:ascii="Arial" w:eastAsia="Times New Roman" w:hAnsi="Arial" w:cs="Arial"/>
          <w:sz w:val="14"/>
          <w:szCs w:val="14"/>
        </w:rPr>
        <w:t xml:space="preserve"> gram</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Other units of measure: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Btu—British thermal unit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°C—degree Celsius (centigrade)</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cal—</w:t>
      </w:r>
      <w:proofErr w:type="gramEnd"/>
      <w:r w:rsidRPr="001F70F0">
        <w:rPr>
          <w:rFonts w:ascii="Arial" w:eastAsia="Times New Roman" w:hAnsi="Arial" w:cs="Arial"/>
          <w:sz w:val="14"/>
          <w:szCs w:val="14"/>
        </w:rPr>
        <w:t>calorie</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proofErr w:type="gramStart"/>
      <w:r w:rsidRPr="001F70F0">
        <w:rPr>
          <w:rFonts w:ascii="Arial" w:eastAsia="Times New Roman" w:hAnsi="Arial" w:cs="Arial"/>
          <w:sz w:val="14"/>
          <w:szCs w:val="14"/>
        </w:rPr>
        <w:t>cfm</w:t>
      </w:r>
      <w:proofErr w:type="spellEnd"/>
      <w:r w:rsidRPr="001F70F0">
        <w:rPr>
          <w:rFonts w:ascii="Arial" w:eastAsia="Times New Roman" w:hAnsi="Arial" w:cs="Arial"/>
          <w:sz w:val="14"/>
          <w:szCs w:val="14"/>
        </w:rPr>
        <w:t>—</w:t>
      </w:r>
      <w:proofErr w:type="gramEnd"/>
      <w:r w:rsidRPr="001F70F0">
        <w:rPr>
          <w:rFonts w:ascii="Arial" w:eastAsia="Times New Roman" w:hAnsi="Arial" w:cs="Arial"/>
          <w:sz w:val="14"/>
          <w:szCs w:val="14"/>
        </w:rPr>
        <w:t>cubic feet per minute</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cu</w:t>
      </w:r>
      <w:proofErr w:type="gramEnd"/>
      <w:r w:rsidRPr="001F70F0">
        <w:rPr>
          <w:rFonts w:ascii="Arial" w:eastAsia="Times New Roman" w:hAnsi="Arial" w:cs="Arial"/>
          <w:sz w:val="14"/>
          <w:szCs w:val="14"/>
        </w:rPr>
        <w:t xml:space="preserve"> ft—cubic feet</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proofErr w:type="gramStart"/>
      <w:r w:rsidRPr="001F70F0">
        <w:rPr>
          <w:rFonts w:ascii="Arial" w:eastAsia="Times New Roman" w:hAnsi="Arial" w:cs="Arial"/>
          <w:sz w:val="14"/>
          <w:szCs w:val="14"/>
        </w:rPr>
        <w:t>dcf</w:t>
      </w:r>
      <w:proofErr w:type="spellEnd"/>
      <w:r w:rsidRPr="001F70F0">
        <w:rPr>
          <w:rFonts w:ascii="Arial" w:eastAsia="Times New Roman" w:hAnsi="Arial" w:cs="Arial"/>
          <w:sz w:val="14"/>
          <w:szCs w:val="14"/>
        </w:rPr>
        <w:t>—</w:t>
      </w:r>
      <w:proofErr w:type="gramEnd"/>
      <w:r w:rsidRPr="001F70F0">
        <w:rPr>
          <w:rFonts w:ascii="Arial" w:eastAsia="Times New Roman" w:hAnsi="Arial" w:cs="Arial"/>
          <w:sz w:val="14"/>
          <w:szCs w:val="14"/>
        </w:rPr>
        <w:t>dry cubic feet</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proofErr w:type="gramStart"/>
      <w:r w:rsidRPr="001F70F0">
        <w:rPr>
          <w:rFonts w:ascii="Arial" w:eastAsia="Times New Roman" w:hAnsi="Arial" w:cs="Arial"/>
          <w:sz w:val="14"/>
          <w:szCs w:val="14"/>
        </w:rPr>
        <w:t>dcm</w:t>
      </w:r>
      <w:proofErr w:type="spellEnd"/>
      <w:r w:rsidRPr="001F70F0">
        <w:rPr>
          <w:rFonts w:ascii="Arial" w:eastAsia="Times New Roman" w:hAnsi="Arial" w:cs="Arial"/>
          <w:sz w:val="14"/>
          <w:szCs w:val="14"/>
        </w:rPr>
        <w:t>—</w:t>
      </w:r>
      <w:proofErr w:type="gramEnd"/>
      <w:r w:rsidRPr="001F70F0">
        <w:rPr>
          <w:rFonts w:ascii="Arial" w:eastAsia="Times New Roman" w:hAnsi="Arial" w:cs="Arial"/>
          <w:sz w:val="14"/>
          <w:szCs w:val="14"/>
        </w:rPr>
        <w:t>dry cubic meter</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dscf—</w:t>
      </w:r>
      <w:proofErr w:type="gramEnd"/>
      <w:r w:rsidRPr="001F70F0">
        <w:rPr>
          <w:rFonts w:ascii="Arial" w:eastAsia="Times New Roman" w:hAnsi="Arial" w:cs="Arial"/>
          <w:sz w:val="14"/>
          <w:szCs w:val="14"/>
        </w:rPr>
        <w:t>dry cubic feet at standard conditions</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proofErr w:type="gramStart"/>
      <w:r w:rsidRPr="001F70F0">
        <w:rPr>
          <w:rFonts w:ascii="Arial" w:eastAsia="Times New Roman" w:hAnsi="Arial" w:cs="Arial"/>
          <w:sz w:val="14"/>
          <w:szCs w:val="14"/>
        </w:rPr>
        <w:t>dscm</w:t>
      </w:r>
      <w:proofErr w:type="spellEnd"/>
      <w:r w:rsidRPr="001F70F0">
        <w:rPr>
          <w:rFonts w:ascii="Arial" w:eastAsia="Times New Roman" w:hAnsi="Arial" w:cs="Arial"/>
          <w:sz w:val="14"/>
          <w:szCs w:val="14"/>
        </w:rPr>
        <w:t>—</w:t>
      </w:r>
      <w:proofErr w:type="gramEnd"/>
      <w:r w:rsidRPr="001F70F0">
        <w:rPr>
          <w:rFonts w:ascii="Arial" w:eastAsia="Times New Roman" w:hAnsi="Arial" w:cs="Arial"/>
          <w:sz w:val="14"/>
          <w:szCs w:val="14"/>
        </w:rPr>
        <w:t>dry cubic meter at standard conditions</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proofErr w:type="gramStart"/>
      <w:r w:rsidRPr="001F70F0">
        <w:rPr>
          <w:rFonts w:ascii="Arial" w:eastAsia="Times New Roman" w:hAnsi="Arial" w:cs="Arial"/>
          <w:sz w:val="14"/>
          <w:szCs w:val="14"/>
        </w:rPr>
        <w:t>eq</w:t>
      </w:r>
      <w:proofErr w:type="spellEnd"/>
      <w:r w:rsidRPr="001F70F0">
        <w:rPr>
          <w:rFonts w:ascii="Arial" w:eastAsia="Times New Roman" w:hAnsi="Arial" w:cs="Arial"/>
          <w:sz w:val="14"/>
          <w:szCs w:val="14"/>
        </w:rPr>
        <w:t>—</w:t>
      </w:r>
      <w:proofErr w:type="gramEnd"/>
      <w:r w:rsidRPr="001F70F0">
        <w:rPr>
          <w:rFonts w:ascii="Arial" w:eastAsia="Times New Roman" w:hAnsi="Arial" w:cs="Arial"/>
          <w:sz w:val="14"/>
          <w:szCs w:val="14"/>
        </w:rPr>
        <w:t>equivalent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°F—degree Fahrenheit</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ft—</w:t>
      </w:r>
      <w:proofErr w:type="gramEnd"/>
      <w:r w:rsidRPr="001F70F0">
        <w:rPr>
          <w:rFonts w:ascii="Arial" w:eastAsia="Times New Roman" w:hAnsi="Arial" w:cs="Arial"/>
          <w:sz w:val="14"/>
          <w:szCs w:val="14"/>
        </w:rPr>
        <w:t>feet</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gal—</w:t>
      </w:r>
      <w:proofErr w:type="gramEnd"/>
      <w:r w:rsidRPr="001F70F0">
        <w:rPr>
          <w:rFonts w:ascii="Arial" w:eastAsia="Times New Roman" w:hAnsi="Arial" w:cs="Arial"/>
          <w:sz w:val="14"/>
          <w:szCs w:val="14"/>
        </w:rPr>
        <w:t>gallon</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gr—</w:t>
      </w:r>
      <w:proofErr w:type="gramEnd"/>
      <w:r w:rsidRPr="001F70F0">
        <w:rPr>
          <w:rFonts w:ascii="Arial" w:eastAsia="Times New Roman" w:hAnsi="Arial" w:cs="Arial"/>
          <w:sz w:val="14"/>
          <w:szCs w:val="14"/>
        </w:rPr>
        <w:t>grain</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g-</w:t>
      </w:r>
      <w:proofErr w:type="spellStart"/>
      <w:r w:rsidRPr="001F70F0">
        <w:rPr>
          <w:rFonts w:ascii="Arial" w:eastAsia="Times New Roman" w:hAnsi="Arial" w:cs="Arial"/>
          <w:sz w:val="14"/>
          <w:szCs w:val="14"/>
        </w:rPr>
        <w:t>eq</w:t>
      </w:r>
      <w:proofErr w:type="spellEnd"/>
      <w:r w:rsidRPr="001F70F0">
        <w:rPr>
          <w:rFonts w:ascii="Arial" w:eastAsia="Times New Roman" w:hAnsi="Arial" w:cs="Arial"/>
          <w:sz w:val="14"/>
          <w:szCs w:val="14"/>
        </w:rPr>
        <w:t>—</w:t>
      </w:r>
      <w:proofErr w:type="gramEnd"/>
      <w:r w:rsidRPr="001F70F0">
        <w:rPr>
          <w:rFonts w:ascii="Arial" w:eastAsia="Times New Roman" w:hAnsi="Arial" w:cs="Arial"/>
          <w:sz w:val="14"/>
          <w:szCs w:val="14"/>
        </w:rPr>
        <w:t>gram equivalent</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hr—</w:t>
      </w:r>
      <w:proofErr w:type="gramEnd"/>
      <w:r w:rsidRPr="001F70F0">
        <w:rPr>
          <w:rFonts w:ascii="Arial" w:eastAsia="Times New Roman" w:hAnsi="Arial" w:cs="Arial"/>
          <w:sz w:val="14"/>
          <w:szCs w:val="14"/>
        </w:rPr>
        <w:t>hour</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in—</w:t>
      </w:r>
      <w:proofErr w:type="gramEnd"/>
      <w:r w:rsidRPr="001F70F0">
        <w:rPr>
          <w:rFonts w:ascii="Arial" w:eastAsia="Times New Roman" w:hAnsi="Arial" w:cs="Arial"/>
          <w:sz w:val="14"/>
          <w:szCs w:val="14"/>
        </w:rPr>
        <w:t>inch</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k—</w:t>
      </w:r>
      <w:proofErr w:type="gramEnd"/>
      <w:r w:rsidRPr="001F70F0">
        <w:rPr>
          <w:rFonts w:ascii="Arial" w:eastAsia="Times New Roman" w:hAnsi="Arial" w:cs="Arial"/>
          <w:sz w:val="14"/>
          <w:szCs w:val="14"/>
        </w:rPr>
        <w:t>1,000</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l—</w:t>
      </w:r>
      <w:proofErr w:type="gramEnd"/>
      <w:r w:rsidRPr="001F70F0">
        <w:rPr>
          <w:rFonts w:ascii="Arial" w:eastAsia="Times New Roman" w:hAnsi="Arial" w:cs="Arial"/>
          <w:sz w:val="14"/>
          <w:szCs w:val="14"/>
        </w:rPr>
        <w:t>liter</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proofErr w:type="gramStart"/>
      <w:r w:rsidRPr="001F70F0">
        <w:rPr>
          <w:rFonts w:ascii="Arial" w:eastAsia="Times New Roman" w:hAnsi="Arial" w:cs="Arial"/>
          <w:sz w:val="14"/>
          <w:szCs w:val="14"/>
        </w:rPr>
        <w:t>lpm</w:t>
      </w:r>
      <w:proofErr w:type="spellEnd"/>
      <w:r w:rsidRPr="001F70F0">
        <w:rPr>
          <w:rFonts w:ascii="Arial" w:eastAsia="Times New Roman" w:hAnsi="Arial" w:cs="Arial"/>
          <w:sz w:val="14"/>
          <w:szCs w:val="14"/>
        </w:rPr>
        <w:t>—</w:t>
      </w:r>
      <w:proofErr w:type="gramEnd"/>
      <w:r w:rsidRPr="001F70F0">
        <w:rPr>
          <w:rFonts w:ascii="Arial" w:eastAsia="Times New Roman" w:hAnsi="Arial" w:cs="Arial"/>
          <w:sz w:val="14"/>
          <w:szCs w:val="14"/>
        </w:rPr>
        <w:t>liter per minute</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lb—</w:t>
      </w:r>
      <w:proofErr w:type="gramEnd"/>
      <w:r w:rsidRPr="001F70F0">
        <w:rPr>
          <w:rFonts w:ascii="Arial" w:eastAsia="Times New Roman" w:hAnsi="Arial" w:cs="Arial"/>
          <w:sz w:val="14"/>
          <w:szCs w:val="14"/>
        </w:rPr>
        <w:t>pound</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proofErr w:type="gramStart"/>
      <w:r w:rsidRPr="001F70F0">
        <w:rPr>
          <w:rFonts w:ascii="Arial" w:eastAsia="Times New Roman" w:hAnsi="Arial" w:cs="Arial"/>
          <w:sz w:val="14"/>
          <w:szCs w:val="14"/>
        </w:rPr>
        <w:t>meq—</w:t>
      </w:r>
      <w:proofErr w:type="gramEnd"/>
      <w:r w:rsidRPr="001F70F0">
        <w:rPr>
          <w:rFonts w:ascii="Arial" w:eastAsia="Times New Roman" w:hAnsi="Arial" w:cs="Arial"/>
          <w:sz w:val="14"/>
          <w:szCs w:val="14"/>
        </w:rPr>
        <w:t>milliequivalent</w:t>
      </w:r>
      <w:proofErr w:type="spellEnd"/>
    </w:p>
    <w:p w:rsidR="0061558A"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min—</w:t>
      </w:r>
      <w:proofErr w:type="gramEnd"/>
      <w:r w:rsidRPr="001F70F0">
        <w:rPr>
          <w:rFonts w:ascii="Arial" w:eastAsia="Times New Roman" w:hAnsi="Arial" w:cs="Arial"/>
          <w:sz w:val="14"/>
          <w:szCs w:val="14"/>
        </w:rPr>
        <w:t>minute</w:t>
      </w:r>
    </w:p>
    <w:p w:rsidR="0061558A" w:rsidRDefault="0061558A">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61558A">
      <w:pPr>
        <w:spacing w:before="200" w:after="100" w:line="240" w:lineRule="auto"/>
        <w:ind w:left="480" w:hanging="480"/>
        <w:rPr>
          <w:rFonts w:ascii="Arial" w:eastAsia="Times New Roman" w:hAnsi="Arial" w:cs="Arial"/>
          <w:sz w:val="14"/>
          <w:szCs w:val="14"/>
        </w:rPr>
      </w:pP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ml—</w:t>
      </w:r>
      <w:proofErr w:type="gramEnd"/>
      <w:r w:rsidRPr="001F70F0">
        <w:rPr>
          <w:rFonts w:ascii="Arial" w:eastAsia="Times New Roman" w:hAnsi="Arial" w:cs="Arial"/>
          <w:sz w:val="14"/>
          <w:szCs w:val="14"/>
        </w:rPr>
        <w:t>milliliter</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mol. wt.—molecular weight</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ppb—</w:t>
      </w:r>
      <w:proofErr w:type="gramEnd"/>
      <w:r w:rsidRPr="001F70F0">
        <w:rPr>
          <w:rFonts w:ascii="Arial" w:eastAsia="Times New Roman" w:hAnsi="Arial" w:cs="Arial"/>
          <w:sz w:val="14"/>
          <w:szCs w:val="14"/>
        </w:rPr>
        <w:t>parts per billion</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ppm—</w:t>
      </w:r>
      <w:proofErr w:type="gramEnd"/>
      <w:r w:rsidRPr="001F70F0">
        <w:rPr>
          <w:rFonts w:ascii="Arial" w:eastAsia="Times New Roman" w:hAnsi="Arial" w:cs="Arial"/>
          <w:sz w:val="14"/>
          <w:szCs w:val="14"/>
        </w:rPr>
        <w:t>parts per million</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proofErr w:type="gramStart"/>
      <w:r w:rsidRPr="001F70F0">
        <w:rPr>
          <w:rFonts w:ascii="Arial" w:eastAsia="Times New Roman" w:hAnsi="Arial" w:cs="Arial"/>
          <w:sz w:val="14"/>
          <w:szCs w:val="14"/>
        </w:rPr>
        <w:t>psia</w:t>
      </w:r>
      <w:proofErr w:type="spellEnd"/>
      <w:r w:rsidRPr="001F70F0">
        <w:rPr>
          <w:rFonts w:ascii="Arial" w:eastAsia="Times New Roman" w:hAnsi="Arial" w:cs="Arial"/>
          <w:sz w:val="14"/>
          <w:szCs w:val="14"/>
        </w:rPr>
        <w:t>—</w:t>
      </w:r>
      <w:proofErr w:type="gramEnd"/>
      <w:r w:rsidRPr="001F70F0">
        <w:rPr>
          <w:rFonts w:ascii="Arial" w:eastAsia="Times New Roman" w:hAnsi="Arial" w:cs="Arial"/>
          <w:sz w:val="14"/>
          <w:szCs w:val="14"/>
        </w:rPr>
        <w:t>pounds per square inch absolute</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psig—</w:t>
      </w:r>
      <w:proofErr w:type="gramEnd"/>
      <w:r w:rsidRPr="001F70F0">
        <w:rPr>
          <w:rFonts w:ascii="Arial" w:eastAsia="Times New Roman" w:hAnsi="Arial" w:cs="Arial"/>
          <w:sz w:val="14"/>
          <w:szCs w:val="14"/>
        </w:rPr>
        <w:t>pounds per square inch gage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 xml:space="preserve">°R—degree </w:t>
      </w:r>
      <w:proofErr w:type="spellStart"/>
      <w:r w:rsidRPr="001F70F0">
        <w:rPr>
          <w:rFonts w:ascii="Arial" w:eastAsia="Times New Roman" w:hAnsi="Arial" w:cs="Arial"/>
          <w:sz w:val="14"/>
          <w:szCs w:val="14"/>
        </w:rPr>
        <w:t>Rankine</w:t>
      </w:r>
      <w:proofErr w:type="spell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scf—</w:t>
      </w:r>
      <w:proofErr w:type="gramEnd"/>
      <w:r w:rsidRPr="001F70F0">
        <w:rPr>
          <w:rFonts w:ascii="Arial" w:eastAsia="Times New Roman" w:hAnsi="Arial" w:cs="Arial"/>
          <w:sz w:val="14"/>
          <w:szCs w:val="14"/>
        </w:rPr>
        <w:t>cubic feet at standard conditions</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proofErr w:type="gramStart"/>
      <w:r w:rsidRPr="001F70F0">
        <w:rPr>
          <w:rFonts w:ascii="Arial" w:eastAsia="Times New Roman" w:hAnsi="Arial" w:cs="Arial"/>
          <w:sz w:val="14"/>
          <w:szCs w:val="14"/>
        </w:rPr>
        <w:t>scfh</w:t>
      </w:r>
      <w:proofErr w:type="spellEnd"/>
      <w:r w:rsidRPr="001F70F0">
        <w:rPr>
          <w:rFonts w:ascii="Arial" w:eastAsia="Times New Roman" w:hAnsi="Arial" w:cs="Arial"/>
          <w:sz w:val="14"/>
          <w:szCs w:val="14"/>
        </w:rPr>
        <w:t>—</w:t>
      </w:r>
      <w:proofErr w:type="gramEnd"/>
      <w:r w:rsidRPr="001F70F0">
        <w:rPr>
          <w:rFonts w:ascii="Arial" w:eastAsia="Times New Roman" w:hAnsi="Arial" w:cs="Arial"/>
          <w:sz w:val="14"/>
          <w:szCs w:val="14"/>
        </w:rPr>
        <w:t>cubic feet per hour at standard conditions</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proofErr w:type="gramStart"/>
      <w:r w:rsidRPr="001F70F0">
        <w:rPr>
          <w:rFonts w:ascii="Arial" w:eastAsia="Times New Roman" w:hAnsi="Arial" w:cs="Arial"/>
          <w:sz w:val="14"/>
          <w:szCs w:val="14"/>
        </w:rPr>
        <w:t>scm</w:t>
      </w:r>
      <w:proofErr w:type="spellEnd"/>
      <w:r w:rsidRPr="001F70F0">
        <w:rPr>
          <w:rFonts w:ascii="Arial" w:eastAsia="Times New Roman" w:hAnsi="Arial" w:cs="Arial"/>
          <w:sz w:val="14"/>
          <w:szCs w:val="14"/>
        </w:rPr>
        <w:t>—</w:t>
      </w:r>
      <w:proofErr w:type="gramEnd"/>
      <w:r w:rsidRPr="001F70F0">
        <w:rPr>
          <w:rFonts w:ascii="Arial" w:eastAsia="Times New Roman" w:hAnsi="Arial" w:cs="Arial"/>
          <w:sz w:val="14"/>
          <w:szCs w:val="14"/>
        </w:rPr>
        <w:t>cubic meter at standard conditions</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sec—</w:t>
      </w:r>
      <w:proofErr w:type="gramEnd"/>
      <w:r w:rsidRPr="001F70F0">
        <w:rPr>
          <w:rFonts w:ascii="Arial" w:eastAsia="Times New Roman" w:hAnsi="Arial" w:cs="Arial"/>
          <w:sz w:val="14"/>
          <w:szCs w:val="14"/>
        </w:rPr>
        <w:t>second</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sq</w:t>
      </w:r>
      <w:proofErr w:type="gramEnd"/>
      <w:r w:rsidRPr="001F70F0">
        <w:rPr>
          <w:rFonts w:ascii="Arial" w:eastAsia="Times New Roman" w:hAnsi="Arial" w:cs="Arial"/>
          <w:sz w:val="14"/>
          <w:szCs w:val="14"/>
        </w:rPr>
        <w:t xml:space="preserve"> ft—square feet</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std—</w:t>
      </w:r>
      <w:proofErr w:type="gramEnd"/>
      <w:r w:rsidRPr="001F70F0">
        <w:rPr>
          <w:rFonts w:ascii="Arial" w:eastAsia="Times New Roman" w:hAnsi="Arial" w:cs="Arial"/>
          <w:sz w:val="14"/>
          <w:szCs w:val="14"/>
        </w:rPr>
        <w:t>at standard conditions</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Chemical nomenclature:</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r w:rsidRPr="001F70F0">
        <w:rPr>
          <w:rFonts w:ascii="Arial" w:eastAsia="Times New Roman" w:hAnsi="Arial" w:cs="Arial"/>
          <w:sz w:val="14"/>
          <w:szCs w:val="14"/>
        </w:rPr>
        <w:t>CdS</w:t>
      </w:r>
      <w:proofErr w:type="spellEnd"/>
      <w:r w:rsidRPr="001F70F0">
        <w:rPr>
          <w:rFonts w:ascii="Arial" w:eastAsia="Times New Roman" w:hAnsi="Arial" w:cs="Arial"/>
          <w:sz w:val="14"/>
          <w:szCs w:val="14"/>
        </w:rPr>
        <w:t>—cadmium sulfide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CO—carbon monoxide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CO</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—carbon dioxide</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spellStart"/>
      <w:r w:rsidRPr="001F70F0">
        <w:rPr>
          <w:rFonts w:ascii="Arial" w:eastAsia="Times New Roman" w:hAnsi="Arial" w:cs="Arial"/>
          <w:sz w:val="14"/>
          <w:szCs w:val="14"/>
        </w:rPr>
        <w:t>HCl</w:t>
      </w:r>
      <w:proofErr w:type="spellEnd"/>
      <w:r w:rsidRPr="001F70F0">
        <w:rPr>
          <w:rFonts w:ascii="Arial" w:eastAsia="Times New Roman" w:hAnsi="Arial" w:cs="Arial"/>
          <w:sz w:val="14"/>
          <w:szCs w:val="14"/>
        </w:rPr>
        <w:t>—hydrochloric acid</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Hg—mercury</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O—water</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S—hydrogen sulfide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SO</w:t>
      </w:r>
      <w:r w:rsidRPr="001F70F0">
        <w:rPr>
          <w:rFonts w:ascii="Arial" w:eastAsia="Times New Roman" w:hAnsi="Arial" w:cs="Arial"/>
          <w:sz w:val="10"/>
          <w:szCs w:val="10"/>
          <w:vertAlign w:val="subscript"/>
        </w:rPr>
        <w:t>4</w:t>
      </w:r>
      <w:r w:rsidRPr="001F70F0">
        <w:rPr>
          <w:rFonts w:ascii="Arial" w:eastAsia="Times New Roman" w:hAnsi="Arial" w:cs="Arial"/>
          <w:sz w:val="14"/>
          <w:szCs w:val="14"/>
        </w:rPr>
        <w:t xml:space="preserve"> —sulfuric acid</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—nitrogen</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NO—nitric oxide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NO</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—nitrogen dioxide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NO</w:t>
      </w:r>
      <w:r w:rsidRPr="001F70F0">
        <w:rPr>
          <w:rFonts w:ascii="Arial" w:eastAsia="Times New Roman" w:hAnsi="Arial" w:cs="Arial"/>
          <w:sz w:val="10"/>
          <w:szCs w:val="10"/>
          <w:vertAlign w:val="subscript"/>
        </w:rPr>
        <w:t>X</w:t>
      </w:r>
      <w:r w:rsidRPr="001F70F0">
        <w:rPr>
          <w:rFonts w:ascii="Arial" w:eastAsia="Times New Roman" w:hAnsi="Arial" w:cs="Arial"/>
          <w:sz w:val="14"/>
          <w:szCs w:val="14"/>
        </w:rPr>
        <w:t xml:space="preserve"> —nitrogen oxides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O</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—oxygen</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SO</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—sulfur dioxide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SO</w:t>
      </w:r>
      <w:r w:rsidRPr="001F70F0">
        <w:rPr>
          <w:rFonts w:ascii="Arial" w:eastAsia="Times New Roman" w:hAnsi="Arial" w:cs="Arial"/>
          <w:sz w:val="10"/>
          <w:szCs w:val="10"/>
          <w:vertAlign w:val="subscript"/>
        </w:rPr>
        <w:t>3</w:t>
      </w:r>
      <w:r w:rsidRPr="001F70F0">
        <w:rPr>
          <w:rFonts w:ascii="Arial" w:eastAsia="Times New Roman" w:hAnsi="Arial" w:cs="Arial"/>
          <w:sz w:val="14"/>
          <w:szCs w:val="14"/>
        </w:rPr>
        <w:t xml:space="preserve"> —sulfur trioxide</w:t>
      </w:r>
    </w:p>
    <w:p w:rsidR="0061558A"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SO</w:t>
      </w:r>
      <w:r w:rsidRPr="001F70F0">
        <w:rPr>
          <w:rFonts w:ascii="Arial" w:eastAsia="Times New Roman" w:hAnsi="Arial" w:cs="Arial"/>
          <w:sz w:val="10"/>
          <w:szCs w:val="10"/>
          <w:vertAlign w:val="subscript"/>
        </w:rPr>
        <w:t>X</w:t>
      </w:r>
      <w:r w:rsidRPr="001F70F0">
        <w:rPr>
          <w:rFonts w:ascii="Arial" w:eastAsia="Times New Roman" w:hAnsi="Arial" w:cs="Arial"/>
          <w:sz w:val="14"/>
          <w:szCs w:val="14"/>
        </w:rPr>
        <w:t xml:space="preserve"> —sulfur oxides</w:t>
      </w:r>
    </w:p>
    <w:p w:rsidR="0061558A" w:rsidRDefault="0061558A">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61558A">
      <w:pPr>
        <w:spacing w:before="200" w:after="100" w:line="240" w:lineRule="auto"/>
        <w:ind w:left="480" w:hanging="480"/>
        <w:rPr>
          <w:rFonts w:ascii="Arial" w:eastAsia="Times New Roman" w:hAnsi="Arial" w:cs="Arial"/>
          <w:sz w:val="14"/>
          <w:szCs w:val="14"/>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Miscellaneous: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A.S.T.M.—American Society for Testing and Materials</w:t>
      </w:r>
    </w:p>
    <w:p w:rsidR="001F70F0" w:rsidRPr="001F70F0" w:rsidRDefault="001F70F0" w:rsidP="0061558A">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[42 FR 37000, July 19, 1977; 42 FR 38178, July 27, 1977]</w:t>
      </w:r>
    </w:p>
    <w:p w:rsidR="001F70F0" w:rsidRPr="001F70F0" w:rsidRDefault="001F70F0" w:rsidP="0061558A">
      <w:pPr>
        <w:spacing w:before="200" w:after="100" w:line="240" w:lineRule="auto"/>
        <w:outlineLvl w:val="1"/>
        <w:rPr>
          <w:rFonts w:ascii="Arial" w:eastAsia="Times New Roman" w:hAnsi="Arial" w:cs="Arial"/>
          <w:b/>
          <w:bCs/>
          <w:sz w:val="15"/>
          <w:szCs w:val="15"/>
        </w:rPr>
      </w:pPr>
      <w:bookmarkStart w:id="4" w:name="40:7.0.1.1.1.1.151.4"/>
      <w:bookmarkEnd w:id="4"/>
      <w:proofErr w:type="gramStart"/>
      <w:r w:rsidRPr="001F70F0">
        <w:rPr>
          <w:rFonts w:ascii="Arial" w:eastAsia="Times New Roman" w:hAnsi="Arial" w:cs="Arial"/>
          <w:b/>
          <w:bCs/>
          <w:sz w:val="15"/>
          <w:szCs w:val="15"/>
        </w:rPr>
        <w:t>§ 60.4   Address</w:t>
      </w:r>
      <w:proofErr w:type="gramEnd"/>
      <w:r w:rsidRPr="001F70F0">
        <w:rPr>
          <w:rFonts w:ascii="Arial" w:eastAsia="Times New Roman" w:hAnsi="Arial" w:cs="Arial"/>
          <w:b/>
          <w:bCs/>
          <w:sz w:val="15"/>
          <w:szCs w:val="15"/>
        </w:rPr>
        <w:t>.</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I (Connecticut, Maine, Massachusetts, New Hampshire, Rhode Island, Vermont), Director, Office of Ecosystem Protection, U.S. Environmental Protection Agency, 5 Post Office Square—Suite 100, Boston, MA 02109-3912.</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II (New Jersey, New York, Puerto Rico, Virgin Islands), Director, Air and Waste Management Division, U.S. Environmental Protection Agency, Federal Office Building, 26 Federal Plaza (Foley Square), New York, NY 10278.</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Region III (Delaware, District of Columbia, Maryland, Pennsylvania, Virginia, West Virginia), Director, Air Protection Division, Mail Code 3AP00, 1650 Arch Street, Philadelphia, PA 19103-2029.</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IV (Alabama, Florida, Georgia, Kentucky, Mississippi, North Carolina, South Carolina, Tennessee), Director, Air, Pesticides and Toxics Management Division, U.S. Environmental Protection Agency, 61 Forsyth St. SW., Suite 9T43, Atlanta, Georgia 30303-8960.</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Region V (Illinois, Indiana, Michigan, Minnesota, Ohio, Wisconsin), Director, Air and Radiation Division, U.S. Environmental Protection Agency, 77 West Jackson Boulevard, Chicago, IL 60604-3590.</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Region VI (Arkansas, Louisiana, New Mexico, Oklahoma, Texas); Director; Air, Pesticides, and Toxics Division; U.S. Environmental Protection Agency, 1445 Ross Avenue, Dallas, TX 75202.</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Region VII (Iowa, Kansas, Missouri, Nebraska), Director, Air and Waste Management Division, 11201 Renner Boulevard, Lenexa, Kansas 66219.</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 xml:space="preserve">Region VIII (Colorado, Montana, North Dakota, South Dakota, Utah, Wyoming) Director, Air and Toxics Technical Enforcement Program, Office of Enforcement, Compliance and Environmental Justice, Mail Code 8ENF-AT, 1595 </w:t>
      </w:r>
      <w:proofErr w:type="spellStart"/>
      <w:r w:rsidRPr="001F70F0">
        <w:rPr>
          <w:rFonts w:ascii="Arial" w:eastAsia="Times New Roman" w:hAnsi="Arial" w:cs="Arial"/>
          <w:sz w:val="14"/>
          <w:szCs w:val="14"/>
        </w:rPr>
        <w:t>Wynkoop</w:t>
      </w:r>
      <w:proofErr w:type="spellEnd"/>
      <w:r w:rsidRPr="001F70F0">
        <w:rPr>
          <w:rFonts w:ascii="Arial" w:eastAsia="Times New Roman" w:hAnsi="Arial" w:cs="Arial"/>
          <w:sz w:val="14"/>
          <w:szCs w:val="14"/>
        </w:rPr>
        <w:t xml:space="preserve"> Street, Denver, CO 80202-1129.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X (Alaska, Oregon, Idaho, Washington), Director, Air and Waste Management Division, U.S. Environmental Protection Agency, 1200 Sixth Avenue, Seattle, WA 98101.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(A) [Reserved]</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(B) State of Alabama: Alabama Department of Environmental Management, P.O. Box 301463, Montgomery, Alabama 36130-1463.</w:t>
      </w:r>
    </w:p>
    <w:p w:rsidR="0061558A"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(C) State of Alaska, Department of Environmental Conservation, Pouch O, Juneau, AK 99811.</w:t>
      </w:r>
    </w:p>
    <w:p w:rsidR="0061558A" w:rsidRDefault="0061558A">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(D) Arizona:</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Arizona Department of Environmental Quality, 1110 West Washington Street, Phoenix, AZ 85007.</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Maricopa County Air Quality Department, 1001 North Central Avenue, Suite 900, Phoenix, AZ 85004.</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Pima County Department of Environmental Quality, 33 North Stone Avenue, Suite 700, Tucson, AZ 85701.</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Pinal County Air Quality Control District, 31 North Pinal Street, Building F, Florence, AZ 85132.</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(E) State of Arkansas: Chief, Division of Air Pollution Control, Arkansas Department of Pollution Control and Ecology, 8001 National Drive, P.O. Box 9583, Little Rock, AR 72209.</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(F) California:</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Amador County Air Pollution Control District, 12200-B Airport Road, Jackson, CA 95642.</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Antelope Valley Air Quality Management District, 43301 Division Street, Suite 206, Lancaster, CA 93535.</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Bay Area Air Quality Management District, 939 Ellis Street, San Francisco, CA 94109.</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Butte County Air Quality Management District, 2525 Dominic Drive, Suite J, Chico, CA 95928.</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Calaveras County Air Pollution Control District, 891 Mountain Ranch Road, San Andreas, CA 95249.</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Colusa County Air Pollution Control District, 100 Sunrise Blvd., Suite A-3, Colusa, CA 95932-3246.</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 xml:space="preserve">El Dorado County Air Quality Management District, 2850 </w:t>
      </w:r>
      <w:proofErr w:type="spellStart"/>
      <w:r w:rsidRPr="001F70F0">
        <w:rPr>
          <w:rFonts w:ascii="Arial" w:eastAsia="Times New Roman" w:hAnsi="Arial" w:cs="Arial"/>
          <w:sz w:val="14"/>
          <w:szCs w:val="14"/>
        </w:rPr>
        <w:t>Fairlane</w:t>
      </w:r>
      <w:proofErr w:type="spellEnd"/>
      <w:r w:rsidRPr="001F70F0">
        <w:rPr>
          <w:rFonts w:ascii="Arial" w:eastAsia="Times New Roman" w:hAnsi="Arial" w:cs="Arial"/>
          <w:sz w:val="14"/>
          <w:szCs w:val="14"/>
        </w:rPr>
        <w:t xml:space="preserve"> Court, Bldg. C, Placerville, CA 95667-4100.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Eastern Kern Air Pollution Control District, 2700 “M” Street, Suite 302, Bakersfield, CA 93301-2370.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Feather River Air Quality Management District, 1007 Live Oak Blvd., Suite B-3, Yuba City, CA 95991.</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Glenn County Air Pollution Control District, 720 N. Colusa Street, P.O. Box 351, Willows, CA 95988-0351.</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Great Basin Unified Air Pollution Control District, 157 Short Street, Suite 6, Bishop, CA 93514-3537.</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Imperial County Air Pollution Control District, 150 South Ninth Street, El Centro, CA 92243-2801.</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Lake County Air Quality Management District, 885 Lakeport Blvd., Lakeport, CA 95453-5405.</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Lassen County Air Pollution Control District, 707 Nevada Street, Suite 1, Susanville, CA 96130.</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Mariposa County Air Pollution Control District, P.O. Box 5, Mariposa, CA 95338.</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 xml:space="preserve">Mendocino County Air Quality Management District, 306 E. </w:t>
      </w:r>
      <w:proofErr w:type="spellStart"/>
      <w:r w:rsidRPr="001F70F0">
        <w:rPr>
          <w:rFonts w:ascii="Arial" w:eastAsia="Times New Roman" w:hAnsi="Arial" w:cs="Arial"/>
          <w:sz w:val="14"/>
          <w:szCs w:val="14"/>
        </w:rPr>
        <w:t>Gobbi</w:t>
      </w:r>
      <w:proofErr w:type="spellEnd"/>
      <w:r w:rsidRPr="001F70F0">
        <w:rPr>
          <w:rFonts w:ascii="Arial" w:eastAsia="Times New Roman" w:hAnsi="Arial" w:cs="Arial"/>
          <w:sz w:val="14"/>
          <w:szCs w:val="14"/>
        </w:rPr>
        <w:t xml:space="preserve"> Street, Ukiah, CA 95482-5511.</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Modoc County Air Pollution Control District, 619 North Main Street, Alturas, CA 96101.</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Mojave Desert Air Quality Management District, 14306 Park Avenue, Victorville, CA 92392-2310.</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Monterey Bay Unified Air Pollution Control District, 24580 Silver Cloud Court, Monterey, CA 93940.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 xml:space="preserve">North Coast Unified Air Quality Management District, 2300 Myrtle Avenue, Eureka, </w:t>
      </w:r>
      <w:proofErr w:type="gramStart"/>
      <w:r w:rsidRPr="001F70F0">
        <w:rPr>
          <w:rFonts w:ascii="Arial" w:eastAsia="Times New Roman" w:hAnsi="Arial" w:cs="Arial"/>
          <w:sz w:val="14"/>
          <w:szCs w:val="14"/>
        </w:rPr>
        <w:t>CA</w:t>
      </w:r>
      <w:proofErr w:type="gramEnd"/>
      <w:r w:rsidRPr="001F70F0">
        <w:rPr>
          <w:rFonts w:ascii="Arial" w:eastAsia="Times New Roman" w:hAnsi="Arial" w:cs="Arial"/>
          <w:sz w:val="14"/>
          <w:szCs w:val="14"/>
        </w:rPr>
        <w:t xml:space="preserve"> 95501-3327.</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Northern Sierra Air Quality Management District, 200 Litton Drive, Suite 320, P.O. Box 2509, Grass Valley, CA 95945-2509.</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Northern Sonoma County Air Pollution Control District, 150 Matheson Street, Healdsburg, CA 95448-4908.</w:t>
      </w:r>
      <w:proofErr w:type="gramEnd"/>
    </w:p>
    <w:p w:rsidR="0061558A"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Placer County Air Pollution Control District, 3091 County Center Drive, Suite 240, Auburn, CA 95603.</w:t>
      </w:r>
      <w:proofErr w:type="gramEnd"/>
    </w:p>
    <w:p w:rsidR="0061558A" w:rsidRDefault="0061558A">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61558A">
      <w:pPr>
        <w:spacing w:before="200" w:after="100" w:line="240" w:lineRule="auto"/>
        <w:ind w:left="480" w:hanging="480"/>
        <w:rPr>
          <w:rFonts w:ascii="Arial" w:eastAsia="Times New Roman" w:hAnsi="Arial" w:cs="Arial"/>
          <w:sz w:val="14"/>
          <w:szCs w:val="14"/>
        </w:rPr>
      </w:pP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Sacramento Metropolitan Air Quality Management District, 777 12th Street, Third Floor, Sacramento, CA 95814-1908.</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San Diego County Air Pollution Control District, 10124 Old Grove Road, San Diego, CA 92131-1649.</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San Joaquin Valley Air Pollution Control District, 1990 E. Gettysburg, Fresno, CA 93726.</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San Luis Obispo County Air Pollution Control District, 3433 Roberto Court, San Luis Obispo, CA 93401-7126.</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Santa Barbara County Air Pollution Control District, 260 North San Antonio Road, Suite A, Santa Barbara, CA 93110-1315.</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Shasta County Air Quality Management District, 1855 Placer Street, Suite 101, Redding, CA 96001-1759.</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Siskiyou County Air Pollution Control District, 525 So.</w:t>
      </w:r>
      <w:proofErr w:type="gramEnd"/>
      <w:r w:rsidRPr="001F70F0">
        <w:rPr>
          <w:rFonts w:ascii="Arial" w:eastAsia="Times New Roman" w:hAnsi="Arial" w:cs="Arial"/>
          <w:sz w:val="14"/>
          <w:szCs w:val="14"/>
        </w:rPr>
        <w:t xml:space="preserve"> </w:t>
      </w:r>
      <w:proofErr w:type="gramStart"/>
      <w:r w:rsidRPr="001F70F0">
        <w:rPr>
          <w:rFonts w:ascii="Arial" w:eastAsia="Times New Roman" w:hAnsi="Arial" w:cs="Arial"/>
          <w:sz w:val="14"/>
          <w:szCs w:val="14"/>
        </w:rPr>
        <w:t>Foothill Drive, Yreka, CA 96097-3036.</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South Coast Air Quality Management District, 21865 Copley Drive, Diamond Bar, CA 91765-4182.</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Tehama County Air Pollution Control District, P.O. Box 8069 (1750 Walnut Street), Red Bluff, CA 96080-0038.</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 xml:space="preserve">Tuolumne County Air Pollution Control District, 22365 </w:t>
      </w:r>
      <w:proofErr w:type="gramStart"/>
      <w:r w:rsidRPr="001F70F0">
        <w:rPr>
          <w:rFonts w:ascii="Arial" w:eastAsia="Times New Roman" w:hAnsi="Arial" w:cs="Arial"/>
          <w:sz w:val="14"/>
          <w:szCs w:val="14"/>
        </w:rPr>
        <w:t>Airport</w:t>
      </w:r>
      <w:proofErr w:type="gramEnd"/>
      <w:r w:rsidRPr="001F70F0">
        <w:rPr>
          <w:rFonts w:ascii="Arial" w:eastAsia="Times New Roman" w:hAnsi="Arial" w:cs="Arial"/>
          <w:sz w:val="14"/>
          <w:szCs w:val="14"/>
        </w:rPr>
        <w:t>, Columbia, CA 95310.</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Ventura County Air Pollution Control District, 669 County Square Drive, 2nd Floor, Ventura, CA 93003-5417.</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Yolo-Solano Air Quality Management District, 1947 Galileo Court, Suite 103, Davis, CA 95616-4882.</w:t>
      </w:r>
      <w:proofErr w:type="gramEnd"/>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(G) State of Colorado, Department of Public Health and Environment, 4300 Cherry Creek Drive South, Denver, CO 80222-1530.</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paragraph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(H) State of Connecticut, Bureau of Air Management, Department of Environmental Protection, State Office Building, 165 Capitol Avenue, Hartford, CT 06106.</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(I) State of Delaware, Department of Natural Resources &amp; Environmental Control, 89 Kings Highway, P.O. Box 1401, Dover, Delaware 19903.</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(J) District of Columbia, Department of Public Health, Air Quality Division, 51 N Street, NE., Washington, DC 20002.</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(K) State of Florida: Florida Department of Environmental Protection, Division of Air Resources Management, 2600 Blair Stone Road, MS 5500, Tallahassee, Florida 32399-2400.</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(L) State of Georgia: Georgia Department of Natural Resources, Environmental Protection Division, Air Protection Branch, 4244 International Parkway, Suite 120, Atlanta, Georgia 30354.</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(M) Hawaii:</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 xml:space="preserve">Clean Air Branch, Hawaii Department of Health, 919 Ala </w:t>
      </w:r>
      <w:proofErr w:type="spellStart"/>
      <w:r w:rsidRPr="001F70F0">
        <w:rPr>
          <w:rFonts w:ascii="Arial" w:eastAsia="Times New Roman" w:hAnsi="Arial" w:cs="Arial"/>
          <w:sz w:val="14"/>
          <w:szCs w:val="14"/>
        </w:rPr>
        <w:t>Moana</w:t>
      </w:r>
      <w:proofErr w:type="spellEnd"/>
      <w:r w:rsidRPr="001F70F0">
        <w:rPr>
          <w:rFonts w:ascii="Arial" w:eastAsia="Times New Roman" w:hAnsi="Arial" w:cs="Arial"/>
          <w:sz w:val="14"/>
          <w:szCs w:val="14"/>
        </w:rPr>
        <w:t xml:space="preserve"> Blvd., Suite 203, Honolulu, HI 96814.</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(N) State of Idaho, Department of Health and Welfare, Statehouse, Boise, ID 83701.</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(O) State of Illinois: Illinois Environmental Protection Agency, 1021 North Grand Avenue East, Springfield, Illinois 62794.</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(P) State of Indiana: Indiana Department of Environmental Management, Office of Air Quality, 100 North Senate Avenue, Indianapolis, Indiana 46204.</w:t>
      </w:r>
    </w:p>
    <w:p w:rsidR="0061558A"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(Q) State of Iowa: Iowa Department of Natural Resources, Environmental Protection Division, Air Quality Bureau, 7900 Hickman Road, Suite 1, Urbandale, IA 50322.</w:t>
      </w:r>
    </w:p>
    <w:p w:rsidR="0061558A" w:rsidRDefault="0061558A">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(R) State of Kansas: Kansas Department of Health and Environment, Bureau of Air and Radiation, 1000 S.W. Jackson, Suite 310, Topeka, KS 66612-1366.</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(S) Commonwealth of Kentucky: Commonwealth of Kentucky, Energy and Environment Cabinet, Department of Environmental Protection, Division for Air Quality, 200 Fair Oaks Lane, 1st Floor, Frankfort, Kentucky 40610-1403.</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 xml:space="preserve">Louisville Metro Air Pollution Control District, 850 </w:t>
      </w:r>
      <w:proofErr w:type="spellStart"/>
      <w:r w:rsidRPr="001F70F0">
        <w:rPr>
          <w:rFonts w:ascii="Arial" w:eastAsia="Times New Roman" w:hAnsi="Arial" w:cs="Arial"/>
          <w:sz w:val="14"/>
          <w:szCs w:val="14"/>
        </w:rPr>
        <w:t>Barret</w:t>
      </w:r>
      <w:proofErr w:type="spellEnd"/>
      <w:r w:rsidRPr="001F70F0">
        <w:rPr>
          <w:rFonts w:ascii="Arial" w:eastAsia="Times New Roman" w:hAnsi="Arial" w:cs="Arial"/>
          <w:sz w:val="14"/>
          <w:szCs w:val="14"/>
        </w:rPr>
        <w:t xml:space="preserve"> Avenue, Louisville, Kentucky 40204.</w:t>
      </w:r>
      <w:proofErr w:type="gramEnd"/>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(T) State Louisiana: Louisiana Department of Environmental Quality, P.O. Box 4301, Baton Rouge, Louisiana 70821-4301. For a list of delegated standards for Louisiana (excluding Indian country), see paragraph (e</w:t>
      </w:r>
      <w:proofErr w:type="gramStart"/>
      <w:r w:rsidRPr="001F70F0">
        <w:rPr>
          <w:rFonts w:ascii="Arial" w:eastAsia="Times New Roman" w:hAnsi="Arial" w:cs="Arial"/>
          <w:sz w:val="14"/>
          <w:szCs w:val="14"/>
        </w:rPr>
        <w:t>)(</w:t>
      </w:r>
      <w:proofErr w:type="gramEnd"/>
      <w:r w:rsidRPr="001F70F0">
        <w:rPr>
          <w:rFonts w:ascii="Arial" w:eastAsia="Times New Roman" w:hAnsi="Arial" w:cs="Arial"/>
          <w:sz w:val="14"/>
          <w:szCs w:val="14"/>
        </w:rPr>
        <w:t>2)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(U) State of Maine, Bureau of Air Quality Control, Department of Environmental Protection, State House, Station No. 17, Augusta, ME 04333.</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(V) State of Maryland, Department of the Environment, 1800 Washington Boulevard, Suite 705, Baltimore, Maryland 21230.</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(W) Commonwealth of Massachusetts, Division of Air Quality Control, Department of Environmental Protection, One Winter Street, 7th floor, Boston, MA 02108.</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(X) State of Michigan: Michigan Department of Natural Resources and Environment, Air Quality Division, P.O. Box 30028, Lansing, Michigan 48909.</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(Y) State of Minnesota: Minnesota Pollution Control Agency, Division of Air Quality, 520 Lafayette Road North, St. Paul, Minnesota 55155.</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 xml:space="preserve">(Z) State of Mississippi: Hand Deliver or Courier: Mississippi Department of Environmental Quality, Office of Pollution Control, Air Division, 515 East Amite </w:t>
      </w:r>
      <w:proofErr w:type="gramStart"/>
      <w:r w:rsidRPr="001F70F0">
        <w:rPr>
          <w:rFonts w:ascii="Arial" w:eastAsia="Times New Roman" w:hAnsi="Arial" w:cs="Arial"/>
          <w:sz w:val="14"/>
          <w:szCs w:val="14"/>
        </w:rPr>
        <w:t>Street</w:t>
      </w:r>
      <w:proofErr w:type="gramEnd"/>
      <w:r w:rsidRPr="001F70F0">
        <w:rPr>
          <w:rFonts w:ascii="Arial" w:eastAsia="Times New Roman" w:hAnsi="Arial" w:cs="Arial"/>
          <w:sz w:val="14"/>
          <w:szCs w:val="14"/>
        </w:rPr>
        <w:t>, Jackson, Mississippi 39201, Mailing Address: Mississippi Department of Environmental Quality, Office of Pollution Control, Air Division, P.O. Box 2261, Jackson, Mississippi 39225.</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(AA) State of Missouri: Missouri Department of Natural Resources, Division of Environmental Quality, P.O. Box 176, Jefferson City, MO 65102.</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(BB) State of Montana, Department of Environmental Quality, 1520 E. 6th Ave., PO Box 200901, Helena, MT 59620-0901.</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paragraph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(CC) State of Nebraska, Nebraska Department of Environmental Control, P.O. Box 94877, State House Station, Lincoln, NE 68509.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 xml:space="preserve">Lincoln-Lancaster County Health Department, Division of Environmental Health, 2200 St. </w:t>
      </w:r>
      <w:proofErr w:type="spellStart"/>
      <w:r w:rsidRPr="001F70F0">
        <w:rPr>
          <w:rFonts w:ascii="Arial" w:eastAsia="Times New Roman" w:hAnsi="Arial" w:cs="Arial"/>
          <w:sz w:val="14"/>
          <w:szCs w:val="14"/>
        </w:rPr>
        <w:t>Marys</w:t>
      </w:r>
      <w:proofErr w:type="spellEnd"/>
      <w:r w:rsidRPr="001F70F0">
        <w:rPr>
          <w:rFonts w:ascii="Arial" w:eastAsia="Times New Roman" w:hAnsi="Arial" w:cs="Arial"/>
          <w:sz w:val="14"/>
          <w:szCs w:val="14"/>
        </w:rPr>
        <w:t xml:space="preserve"> Avenue, Lincoln, NE 68502</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(DD) Nevada:</w:t>
      </w:r>
    </w:p>
    <w:p w:rsidR="001F70F0" w:rsidRPr="001F70F0" w:rsidRDefault="001F70F0" w:rsidP="0061558A">
      <w:pPr>
        <w:spacing w:before="200" w:after="100" w:line="240" w:lineRule="auto"/>
        <w:ind w:left="480" w:hanging="480"/>
        <w:rPr>
          <w:rFonts w:ascii="Arial" w:eastAsia="Times New Roman" w:hAnsi="Arial" w:cs="Arial"/>
          <w:sz w:val="14"/>
          <w:szCs w:val="14"/>
        </w:rPr>
      </w:pPr>
      <w:proofErr w:type="gramStart"/>
      <w:r w:rsidRPr="001F70F0">
        <w:rPr>
          <w:rFonts w:ascii="Arial" w:eastAsia="Times New Roman" w:hAnsi="Arial" w:cs="Arial"/>
          <w:sz w:val="14"/>
          <w:szCs w:val="14"/>
        </w:rPr>
        <w:t>Nevada Division of Environmental Protection, 901 South Stewart Street, Suite 4001, Carson City, NV 89701-5249.</w:t>
      </w:r>
      <w:proofErr w:type="gramEnd"/>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Clark County Department of Air Quality and Environmental Management, 500 S. Grand Central Parkway, 1st Floor, P.O. Box 555210, Las Vegas, NV 89155-5210.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 xml:space="preserve">Washoe County Health District, Air Quality Management Division, 1001 E. 9th Street, Building </w:t>
      </w:r>
      <w:proofErr w:type="gramStart"/>
      <w:r w:rsidRPr="001F70F0">
        <w:rPr>
          <w:rFonts w:ascii="Arial" w:eastAsia="Times New Roman" w:hAnsi="Arial" w:cs="Arial"/>
          <w:sz w:val="14"/>
          <w:szCs w:val="14"/>
        </w:rPr>
        <w:t>A</w:t>
      </w:r>
      <w:proofErr w:type="gramEnd"/>
      <w:r w:rsidRPr="001F70F0">
        <w:rPr>
          <w:rFonts w:ascii="Arial" w:eastAsia="Times New Roman" w:hAnsi="Arial" w:cs="Arial"/>
          <w:sz w:val="14"/>
          <w:szCs w:val="14"/>
        </w:rPr>
        <w:t>, Suite 115A, Reno, NV 89520.</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(EE) State of New Hampshire, Air Resources Division, Department of Environmental Services, 64 North Main Street, Caller Box 2033, Concord, NH 03302-2033.</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(FF) State of New Jersey: New Jersey Department of Environmental Protection, Division of Environmental Quality, Enforcement Element, John Fitch Plaza, CN-027, Trenton, NJ 08625.</w:t>
      </w:r>
    </w:p>
    <w:p w:rsidR="0061558A"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following table lists the specific source and pollutant categories that have been delegated to the states in Region II. The (X) symbol is used to indicate each category that has been delegated.</w:t>
      </w:r>
    </w:p>
    <w:p w:rsidR="0061558A" w:rsidRDefault="0061558A">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81"/>
        <w:gridCol w:w="6223"/>
        <w:gridCol w:w="703"/>
        <w:gridCol w:w="561"/>
        <w:gridCol w:w="712"/>
        <w:gridCol w:w="810"/>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State</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New Jersey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New York</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Puerto Rico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Virgin Islands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for Which Construction Commenced After August 17, 1971 (Steam Generators and Lignite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for Which Construction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Refineries—(All Categories)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Constructed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Constructed After May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Ingot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Iron and Steel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Ferroally</w:t>
            </w:r>
            <w:proofErr w:type="spellEnd"/>
            <w:r w:rsidRPr="001F70F0">
              <w:rPr>
                <w:rFonts w:ascii="Arial" w:eastAsia="Times New Roman" w:hAnsi="Arial" w:cs="Arial"/>
                <w:sz w:val="15"/>
                <w:szCs w:val="15"/>
              </w:rPr>
              <w:t xml:space="preserve">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Arc Furnaces and Argon-Oxygen Decarburization Vessels in Steel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 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Volatile Organic Compounds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xml:space="preserve">Petroleum Dry </w:t>
            </w:r>
            <w:proofErr w:type="spellStart"/>
            <w:r w:rsidRPr="001F70F0">
              <w:rPr>
                <w:rFonts w:ascii="Arial" w:eastAsia="Times New Roman" w:hAnsi="Arial" w:cs="Arial"/>
                <w:sz w:val="15"/>
                <w:szCs w:val="15"/>
              </w:rPr>
              <w:t>Clearners</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Plants;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(GG) State of New Mexico: New Mexico Environment Department, 1190 St. Francis Drive, P.O. Box 26110, Santa Fe, New Mexico 87502. Note: For a list of delegated standards for New Mexico (excluding Bernalillo County and Indian country), see paragraph (e</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Albuquerque-Bernalillo County Air Quality Control Board, c/o Environmental Health Department, P.O. Box 1293, Albuquerque, New Mexico 87103.</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[Reserved]</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(HH) New York: New York State Department of Environmental Conservation, 50 Wolf Road Albany, New York 12233, </w:t>
      </w:r>
      <w:proofErr w:type="gramStart"/>
      <w:r w:rsidRPr="001F70F0">
        <w:rPr>
          <w:rFonts w:ascii="Arial" w:eastAsia="Times New Roman" w:hAnsi="Arial" w:cs="Arial"/>
          <w:sz w:val="15"/>
          <w:szCs w:val="15"/>
        </w:rPr>
        <w:t>attention</w:t>
      </w:r>
      <w:proofErr w:type="gramEnd"/>
      <w:r w:rsidRPr="001F70F0">
        <w:rPr>
          <w:rFonts w:ascii="Arial" w:eastAsia="Times New Roman" w:hAnsi="Arial" w:cs="Arial"/>
          <w:sz w:val="15"/>
          <w:szCs w:val="15"/>
        </w:rPr>
        <w:t>: Division of Air Resources.</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(JJ) State of North Dakota, Division of Air Quality, North Dakota Department of Health, P.O. Box 5520, Bismarck, ND 58506-5520.</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paragraph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(KK) State of Ohio:</w:t>
      </w:r>
    </w:p>
    <w:p w:rsidR="0061558A"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Medina, Summit and Portage Counties; Director, Akron Regional Air Quality Management District, 146 South High Street, Room 904, Akron, OH 44308.</w:t>
      </w:r>
    </w:p>
    <w:p w:rsidR="0061558A" w:rsidRDefault="0061558A">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(ii) Stark County; Director, Canton City Health Department, Air Pollution Control Division, 420 Market Avenue North, Canton, Ohio 44702-1544.</w:t>
      </w:r>
      <w:proofErr w:type="gramEnd"/>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Butler, Clermont, Hamilton, and Warren Counties; Director, Hamilton County Department of Environmental Services, 250 William Howard Taft Road, Cincinnati, Ohio 45219-2660.</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(iv) Cuyahoga County; Commissioner, Cleveland Department of Public Health, Division of Air Quality, 75 </w:t>
      </w:r>
      <w:proofErr w:type="spellStart"/>
      <w:r w:rsidRPr="001F70F0">
        <w:rPr>
          <w:rFonts w:ascii="Arial" w:eastAsia="Times New Roman" w:hAnsi="Arial" w:cs="Arial"/>
          <w:sz w:val="15"/>
          <w:szCs w:val="15"/>
        </w:rPr>
        <w:t>Erieview</w:t>
      </w:r>
      <w:proofErr w:type="spellEnd"/>
      <w:r w:rsidRPr="001F70F0">
        <w:rPr>
          <w:rFonts w:ascii="Arial" w:eastAsia="Times New Roman" w:hAnsi="Arial" w:cs="Arial"/>
          <w:sz w:val="15"/>
          <w:szCs w:val="15"/>
        </w:rPr>
        <w:t xml:space="preserve"> Plaza 2nd Floor, Cleveland, Ohio 44114.</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 Clark, </w:t>
      </w:r>
      <w:proofErr w:type="spellStart"/>
      <w:r w:rsidRPr="001F70F0">
        <w:rPr>
          <w:rFonts w:ascii="Arial" w:eastAsia="Times New Roman" w:hAnsi="Arial" w:cs="Arial"/>
          <w:sz w:val="15"/>
          <w:szCs w:val="15"/>
        </w:rPr>
        <w:t>Darke</w:t>
      </w:r>
      <w:proofErr w:type="spellEnd"/>
      <w:r w:rsidRPr="001F70F0">
        <w:rPr>
          <w:rFonts w:ascii="Arial" w:eastAsia="Times New Roman" w:hAnsi="Arial" w:cs="Arial"/>
          <w:sz w:val="15"/>
          <w:szCs w:val="15"/>
        </w:rPr>
        <w:t>, Greene, Miami, Montgomery, and Preble Counties; Director, Regional Air Pollution Control Agency, 117 South Main Street, Dayton, Ohio 45422-1280.</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 Lucas County and the City of Rossford (in Wood County); Director, City of Toledo, Division of Environmental Services, 348 South Erie Street, Toledo, OH 43604.</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 Adams, Brown, Lawrence, and Scioto Counties; Portsmouth Local Air Agency, 605 Washington Street, Third Floor, Portsmouth, OH 45662.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w:t>
      </w:r>
      <w:proofErr w:type="spellStart"/>
      <w:r w:rsidRPr="001F70F0">
        <w:rPr>
          <w:rFonts w:ascii="Arial" w:eastAsia="Times New Roman" w:hAnsi="Arial" w:cs="Arial"/>
          <w:sz w:val="15"/>
          <w:szCs w:val="15"/>
        </w:rPr>
        <w:t>Dunbridge</w:t>
      </w:r>
      <w:proofErr w:type="spellEnd"/>
      <w:r w:rsidRPr="001F70F0">
        <w:rPr>
          <w:rFonts w:ascii="Arial" w:eastAsia="Times New Roman" w:hAnsi="Arial" w:cs="Arial"/>
          <w:sz w:val="15"/>
          <w:szCs w:val="15"/>
        </w:rPr>
        <w:t xml:space="preserve"> Road, Bowling Green, Ohio 43402.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(ix) Ashtabula, </w:t>
      </w:r>
      <w:proofErr w:type="spellStart"/>
      <w:r w:rsidRPr="001F70F0">
        <w:rPr>
          <w:rFonts w:ascii="Arial" w:eastAsia="Times New Roman" w:hAnsi="Arial" w:cs="Arial"/>
          <w:sz w:val="15"/>
          <w:szCs w:val="15"/>
        </w:rPr>
        <w:t>Caroll</w:t>
      </w:r>
      <w:proofErr w:type="spellEnd"/>
      <w:r w:rsidRPr="001F70F0">
        <w:rPr>
          <w:rFonts w:ascii="Arial" w:eastAsia="Times New Roman" w:hAnsi="Arial" w:cs="Arial"/>
          <w:sz w:val="15"/>
          <w:szCs w:val="15"/>
        </w:rPr>
        <w:t xml:space="preserve">, </w:t>
      </w:r>
      <w:proofErr w:type="spellStart"/>
      <w:r w:rsidRPr="001F70F0">
        <w:rPr>
          <w:rFonts w:ascii="Arial" w:eastAsia="Times New Roman" w:hAnsi="Arial" w:cs="Arial"/>
          <w:sz w:val="15"/>
          <w:szCs w:val="15"/>
        </w:rPr>
        <w:t>Colombiana</w:t>
      </w:r>
      <w:proofErr w:type="spellEnd"/>
      <w:r w:rsidRPr="001F70F0">
        <w:rPr>
          <w:rFonts w:ascii="Arial" w:eastAsia="Times New Roman" w:hAnsi="Arial" w:cs="Arial"/>
          <w:sz w:val="15"/>
          <w:szCs w:val="15"/>
        </w:rPr>
        <w:t>, Holmes, Lorain, and Wayne Counties; Ohio Environmental Protection Agency, Northeast District Office, Air Pollution Unit, 2110 East Aurora Road, Twinsburg, OH 44087.</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(x) Athens, Belmont, Coshocton, Gallia, </w:t>
      </w:r>
      <w:proofErr w:type="spellStart"/>
      <w:r w:rsidRPr="001F70F0">
        <w:rPr>
          <w:rFonts w:ascii="Arial" w:eastAsia="Times New Roman" w:hAnsi="Arial" w:cs="Arial"/>
          <w:sz w:val="15"/>
          <w:szCs w:val="15"/>
        </w:rPr>
        <w:t>Guemsey</w:t>
      </w:r>
      <w:proofErr w:type="spellEnd"/>
      <w:r w:rsidRPr="001F70F0">
        <w:rPr>
          <w:rFonts w:ascii="Arial" w:eastAsia="Times New Roman" w:hAnsi="Arial" w:cs="Arial"/>
          <w:sz w:val="15"/>
          <w:szCs w:val="15"/>
        </w:rPr>
        <w:t xml:space="preserve">, Harrison, Hocking, Jackson, Jefferson, </w:t>
      </w:r>
      <w:proofErr w:type="spellStart"/>
      <w:r w:rsidRPr="001F70F0">
        <w:rPr>
          <w:rFonts w:ascii="Arial" w:eastAsia="Times New Roman" w:hAnsi="Arial" w:cs="Arial"/>
          <w:sz w:val="15"/>
          <w:szCs w:val="15"/>
        </w:rPr>
        <w:t>Meigs</w:t>
      </w:r>
      <w:proofErr w:type="spellEnd"/>
      <w:r w:rsidRPr="001F70F0">
        <w:rPr>
          <w:rFonts w:ascii="Arial" w:eastAsia="Times New Roman" w:hAnsi="Arial" w:cs="Arial"/>
          <w:sz w:val="15"/>
          <w:szCs w:val="15"/>
        </w:rPr>
        <w:t>, Monroe, Morgan, Muskingum, Noble, Perry, Pike, Ross, Tuscarawas, Vinton, and Washington Counties; Ohio Environmental Protection Agency, Southeast District Office, Air Pollution Unit, 2195 Front Street, Logan, OH 43138.</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(xi) Champaign, Clinton, Highland, Logan, and Shelby Counties; Ohio Environmental Protection Agency, Southwest District Office, Air Pollution Unit, 401 East Fifth Street, Dayton, Ohio 45402-2911.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(xii) Delaware, Fairfield, Fayette, Franklin, Knox, Licking, Madison, Morrow, Pickaway, and Union Counties; Ohio Environmental Protection Agency, Central District Office, Air Pollution control, 50 West Town Street, Suite 700, Columbus, Ohio 43215.</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(xiii) Geauga and Lake Counties; Lake County General Health District, Air Pollution Control, 33 Mill Street, Painesville, OH 44077.</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(xiv) Mahoning and Trumbull Counties; Mahoning-Trumbull Air Pollution Control Agency, 345 Oak Hill Avenue, Suite 200, Youngstown, OH 44502.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(LL) State of Oklahoma, Oklahoma State Department of Health, Air Quality Service, P.O. Box 53551, Oklahoma City, OK 73152.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Oklahoma City and County: Director, Oklahoma City-County Health Department, 921 Northeast 23rd Street, Oklahoma City, OK 73105.</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Tulsa County: Tulsa City-County Health Department, 4616 East Fifteenth Street, Tulsa, OK 74112.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(MM) State of Oregon.</w:t>
      </w:r>
      <w:proofErr w:type="gramEnd"/>
      <w:r w:rsidRPr="001F70F0">
        <w:rPr>
          <w:rFonts w:ascii="Arial" w:eastAsia="Times New Roman" w:hAnsi="Arial" w:cs="Arial"/>
          <w:sz w:val="15"/>
          <w:szCs w:val="15"/>
        </w:rPr>
        <w:t xml:space="preserve">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xml:space="preserve">) Oregon Department of Environmental Quality (ODEQ), 811 SW Sixth Avenue, Portland, OR 97204-1390, </w:t>
      </w:r>
      <w:r w:rsidRPr="001F70F0">
        <w:rPr>
          <w:rFonts w:ascii="Arial" w:eastAsia="Times New Roman" w:hAnsi="Arial" w:cs="Arial"/>
          <w:i/>
          <w:iCs/>
          <w:sz w:val="15"/>
          <w:szCs w:val="15"/>
        </w:rPr>
        <w:t>http://www.deq.state.or.us.</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(ii) Lane Regional Air Pollution Authority (LRAPA), 1010 Main Street, Springfield, Oregon 97477, </w:t>
      </w:r>
      <w:r w:rsidRPr="001F70F0">
        <w:rPr>
          <w:rFonts w:ascii="Arial" w:eastAsia="Times New Roman" w:hAnsi="Arial" w:cs="Arial"/>
          <w:i/>
          <w:iCs/>
          <w:sz w:val="15"/>
          <w:szCs w:val="15"/>
        </w:rPr>
        <w:t>http://www.lrapa.org.</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(NN)(</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City of Philadelphia, Department of Public Health, Air Management Services, 321 University Avenue, Philadelphia, Pennsylvania 19104.</w:t>
      </w:r>
    </w:p>
    <w:p w:rsidR="0061558A"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Commonwealth of Pennsylvania, Department of Environmental Protection, Bureau of Air Quality Control, P.O. Box 8468, 400 Market Street, Harrisburg, Pennsylvania 17105.</w:t>
      </w:r>
    </w:p>
    <w:p w:rsidR="0061558A" w:rsidRDefault="0061558A">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Allegheny County Health Department, Bureau of Environmental Quality, Division of Air Quality, 301 39th Street, Pittsburgh, Pennsylvania 15201.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(OO) State of Rhode Island, Division of Air and Hazardous Materials, Department of Environmental Management, 291 Promenade Street, Providence, RI 02908.</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(PP) State of South Carolina: South Carolina Department of Health and Environmental Control, 2600 Bull Street, Columbia, South Carolina 29201.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(QQ) State of South Dakota, Air Quality Program, Department of Environment and Natural Resources, Joe Foss Building, 523 East Capitol, Pierre, SD 57501-3181.</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w:t>
      </w:r>
      <w:proofErr w:type="spellStart"/>
      <w:r w:rsidRPr="001F70F0">
        <w:rPr>
          <w:rFonts w:ascii="Arial" w:eastAsia="Times New Roman" w:hAnsi="Arial" w:cs="Arial"/>
          <w:sz w:val="14"/>
          <w:szCs w:val="14"/>
        </w:rPr>
        <w:t>paragragh</w:t>
      </w:r>
      <w:proofErr w:type="spellEnd"/>
      <w:r w:rsidRPr="001F70F0">
        <w:rPr>
          <w:rFonts w:ascii="Arial" w:eastAsia="Times New Roman" w:hAnsi="Arial" w:cs="Arial"/>
          <w:sz w:val="14"/>
          <w:szCs w:val="14"/>
        </w:rPr>
        <w:t xml:space="preserve">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(RR) State of Tennessee: Tennessee Department of Environment and Conservation, Division of Air Pollution Control, 401 Church Street, 9th Floor, L&amp;C Annex, Nashville, Tennessee 37243-1531.</w:t>
      </w:r>
    </w:p>
    <w:p w:rsidR="001F70F0" w:rsidRPr="001F70F0" w:rsidRDefault="001F70F0" w:rsidP="0061558A">
      <w:pPr>
        <w:spacing w:before="200" w:after="100" w:line="240" w:lineRule="auto"/>
        <w:ind w:left="480" w:hanging="480"/>
        <w:rPr>
          <w:rFonts w:ascii="Arial" w:eastAsia="Times New Roman" w:hAnsi="Arial" w:cs="Arial"/>
          <w:sz w:val="15"/>
          <w:szCs w:val="15"/>
        </w:rPr>
      </w:pPr>
      <w:proofErr w:type="gramStart"/>
      <w:r w:rsidRPr="001F70F0">
        <w:rPr>
          <w:rFonts w:ascii="Arial" w:eastAsia="Times New Roman" w:hAnsi="Arial" w:cs="Arial"/>
          <w:sz w:val="15"/>
          <w:szCs w:val="15"/>
        </w:rPr>
        <w:t xml:space="preserve">Knox County Air Quality Management—Department of Public Health, 140 </w:t>
      </w:r>
      <w:proofErr w:type="spellStart"/>
      <w:r w:rsidRPr="001F70F0">
        <w:rPr>
          <w:rFonts w:ascii="Arial" w:eastAsia="Times New Roman" w:hAnsi="Arial" w:cs="Arial"/>
          <w:sz w:val="15"/>
          <w:szCs w:val="15"/>
        </w:rPr>
        <w:t>Dameron</w:t>
      </w:r>
      <w:proofErr w:type="spellEnd"/>
      <w:r w:rsidRPr="001F70F0">
        <w:rPr>
          <w:rFonts w:ascii="Arial" w:eastAsia="Times New Roman" w:hAnsi="Arial" w:cs="Arial"/>
          <w:sz w:val="15"/>
          <w:szCs w:val="15"/>
        </w:rPr>
        <w:t xml:space="preserve"> Avenue, Knoxville, TN 37917.</w:t>
      </w:r>
      <w:proofErr w:type="gramEnd"/>
    </w:p>
    <w:p w:rsidR="001F70F0" w:rsidRPr="001F70F0" w:rsidRDefault="001F70F0" w:rsidP="0061558A">
      <w:pPr>
        <w:spacing w:before="200" w:after="100" w:line="240" w:lineRule="auto"/>
        <w:ind w:left="480" w:hanging="480"/>
        <w:rPr>
          <w:rFonts w:ascii="Arial" w:eastAsia="Times New Roman" w:hAnsi="Arial" w:cs="Arial"/>
          <w:sz w:val="15"/>
          <w:szCs w:val="15"/>
        </w:rPr>
      </w:pPr>
      <w:proofErr w:type="gramStart"/>
      <w:r w:rsidRPr="001F70F0">
        <w:rPr>
          <w:rFonts w:ascii="Arial" w:eastAsia="Times New Roman" w:hAnsi="Arial" w:cs="Arial"/>
          <w:sz w:val="15"/>
          <w:szCs w:val="15"/>
        </w:rPr>
        <w:t>Air Pollution Control Bureau, Metropolitan Health Department, 311 23rd Avenue North, Nashville, TN 37203.</w:t>
      </w:r>
      <w:proofErr w:type="gramEnd"/>
    </w:p>
    <w:p w:rsidR="001F70F0" w:rsidRPr="001F70F0" w:rsidRDefault="001F70F0" w:rsidP="0061558A">
      <w:pPr>
        <w:spacing w:before="200" w:after="100" w:line="240" w:lineRule="auto"/>
        <w:ind w:left="480" w:hanging="480"/>
        <w:rPr>
          <w:rFonts w:ascii="Arial" w:eastAsia="Times New Roman" w:hAnsi="Arial" w:cs="Arial"/>
          <w:sz w:val="15"/>
          <w:szCs w:val="15"/>
        </w:rPr>
      </w:pPr>
      <w:proofErr w:type="gramStart"/>
      <w:r w:rsidRPr="001F70F0">
        <w:rPr>
          <w:rFonts w:ascii="Arial" w:eastAsia="Times New Roman" w:hAnsi="Arial" w:cs="Arial"/>
          <w:sz w:val="15"/>
          <w:szCs w:val="15"/>
        </w:rPr>
        <w:t>Chattanooga-Hamilton County Air Pollution Control Bureau, 6125 Preservation Drive, Chattanooga, TN 37416.</w:t>
      </w:r>
      <w:proofErr w:type="gramEnd"/>
    </w:p>
    <w:p w:rsidR="001F70F0" w:rsidRPr="001F70F0" w:rsidRDefault="001F70F0" w:rsidP="0061558A">
      <w:pPr>
        <w:spacing w:before="200" w:after="100" w:line="240" w:lineRule="auto"/>
        <w:ind w:left="480" w:hanging="480"/>
        <w:rPr>
          <w:rFonts w:ascii="Arial" w:eastAsia="Times New Roman" w:hAnsi="Arial" w:cs="Arial"/>
          <w:sz w:val="15"/>
          <w:szCs w:val="15"/>
        </w:rPr>
      </w:pPr>
      <w:proofErr w:type="gramStart"/>
      <w:r w:rsidRPr="001F70F0">
        <w:rPr>
          <w:rFonts w:ascii="Arial" w:eastAsia="Times New Roman" w:hAnsi="Arial" w:cs="Arial"/>
          <w:sz w:val="15"/>
          <w:szCs w:val="15"/>
        </w:rPr>
        <w:t>Memphis-Shelby County Health Department—Air Pollution Control Program, 814 Jefferson Avenue, Memphis, TN 38105.</w:t>
      </w:r>
      <w:proofErr w:type="gramEnd"/>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(SS) State of Texas, Texas Air Control Board, 6330 Highway 290 East, Austin, TX 78723.</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(TT) State of Utah, Division of Air Quality, Department of Environmental Quality, P.O. Box 144820, Salt Lake City, UT 84114-4820.</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paragraph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(UU) State of Vermont, Air Pollution Control Division, Agency of Natural Resources, Building 3 South, 103 South Main Street, Waterbury, VT 05676.</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(VV) Commonwealth of Virginia, Department of Environmental Quality, 629 East Main Street, Richmond, Virginia 23219.</w:t>
      </w:r>
      <w:proofErr w:type="gramEnd"/>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(WW) </w:t>
      </w:r>
      <w:proofErr w:type="gramStart"/>
      <w:r w:rsidRPr="001F70F0">
        <w:rPr>
          <w:rFonts w:ascii="Arial" w:eastAsia="Times New Roman" w:hAnsi="Arial" w:cs="Arial"/>
          <w:i/>
          <w:iCs/>
          <w:sz w:val="15"/>
          <w:szCs w:val="15"/>
        </w:rPr>
        <w:t>State of Washington.</w:t>
      </w:r>
      <w:proofErr w:type="gramEnd"/>
      <w:r w:rsidRPr="001F70F0">
        <w:rPr>
          <w:rFonts w:ascii="Arial" w:eastAsia="Times New Roman" w:hAnsi="Arial" w:cs="Arial"/>
          <w:sz w:val="15"/>
          <w:szCs w:val="15"/>
        </w:rPr>
        <w:t xml:space="preserve">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xml:space="preserve">) Washington State Department of Ecology (Ecology), P.O. Box 47600, Olympia, WA 98504-7600, </w:t>
      </w:r>
      <w:r w:rsidRPr="001F70F0">
        <w:rPr>
          <w:rFonts w:ascii="Arial" w:eastAsia="Times New Roman" w:hAnsi="Arial" w:cs="Arial"/>
          <w:i/>
          <w:iCs/>
          <w:sz w:val="15"/>
          <w:szCs w:val="15"/>
        </w:rPr>
        <w:t>http://www.ecy.wa.gov/</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(ii) Benton Clean Air Authority (BCAA), 650 George Washington Way, Richland, WA 99352-4289, </w:t>
      </w:r>
      <w:r w:rsidRPr="001F70F0">
        <w:rPr>
          <w:rFonts w:ascii="Arial" w:eastAsia="Times New Roman" w:hAnsi="Arial" w:cs="Arial"/>
          <w:i/>
          <w:iCs/>
          <w:sz w:val="15"/>
          <w:szCs w:val="15"/>
        </w:rPr>
        <w:t>http://www.bcaa.net/</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(iii) Northwest Air Pollution Control Authority (NWAPA), 1600 South Second St., Mount Vernon, WA 98273-5202, </w:t>
      </w:r>
      <w:r w:rsidRPr="001F70F0">
        <w:rPr>
          <w:rFonts w:ascii="Arial" w:eastAsia="Times New Roman" w:hAnsi="Arial" w:cs="Arial"/>
          <w:i/>
          <w:iCs/>
          <w:sz w:val="15"/>
          <w:szCs w:val="15"/>
        </w:rPr>
        <w:t>http://www.nwair.org/</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(iv) Olympic</w:t>
      </w:r>
      <w:proofErr w:type="gramEnd"/>
      <w:r w:rsidRPr="001F70F0">
        <w:rPr>
          <w:rFonts w:ascii="Arial" w:eastAsia="Times New Roman" w:hAnsi="Arial" w:cs="Arial"/>
          <w:sz w:val="15"/>
          <w:szCs w:val="15"/>
        </w:rPr>
        <w:t xml:space="preserve"> Regional Clean Air Agency (ORCAA), 909 </w:t>
      </w:r>
      <w:proofErr w:type="spellStart"/>
      <w:r w:rsidRPr="001F70F0">
        <w:rPr>
          <w:rFonts w:ascii="Arial" w:eastAsia="Times New Roman" w:hAnsi="Arial" w:cs="Arial"/>
          <w:sz w:val="15"/>
          <w:szCs w:val="15"/>
        </w:rPr>
        <w:t>Sleater</w:t>
      </w:r>
      <w:proofErr w:type="spellEnd"/>
      <w:r w:rsidRPr="001F70F0">
        <w:rPr>
          <w:rFonts w:ascii="Arial" w:eastAsia="Times New Roman" w:hAnsi="Arial" w:cs="Arial"/>
          <w:sz w:val="15"/>
          <w:szCs w:val="15"/>
        </w:rPr>
        <w:t xml:space="preserve">-Kinney Road S.E., Suite 1, Lacey, WA 98503-1128, </w:t>
      </w:r>
      <w:r w:rsidRPr="001F70F0">
        <w:rPr>
          <w:rFonts w:ascii="Arial" w:eastAsia="Times New Roman" w:hAnsi="Arial" w:cs="Arial"/>
          <w:i/>
          <w:iCs/>
          <w:sz w:val="15"/>
          <w:szCs w:val="15"/>
        </w:rPr>
        <w:t>http://www.orcaa.org/</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 Puget Sound Clean Air Agency (PSCAA), 110 Union Street, Suite 500, Seattle, WA 98101-2038, </w:t>
      </w:r>
      <w:r w:rsidRPr="001F70F0">
        <w:rPr>
          <w:rFonts w:ascii="Arial" w:eastAsia="Times New Roman" w:hAnsi="Arial" w:cs="Arial"/>
          <w:i/>
          <w:iCs/>
          <w:sz w:val="15"/>
          <w:szCs w:val="15"/>
        </w:rPr>
        <w:t>http://www.pscleanair.org/</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(vi) Spokane County Air Pollution Control Authority (SCAPCA), West 1101 College, Suite 403, Spokane, WA 99201, </w:t>
      </w:r>
      <w:r w:rsidRPr="001F70F0">
        <w:rPr>
          <w:rFonts w:ascii="Arial" w:eastAsia="Times New Roman" w:hAnsi="Arial" w:cs="Arial"/>
          <w:i/>
          <w:iCs/>
          <w:sz w:val="15"/>
          <w:szCs w:val="15"/>
        </w:rPr>
        <w:t>http://www.scapca.org/</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(vii) Southwest Clean Air Agency (SWCAA), 1308 NE. 134th St., Vancouver, WA 98685-2747, </w:t>
      </w:r>
      <w:r w:rsidRPr="001F70F0">
        <w:rPr>
          <w:rFonts w:ascii="Arial" w:eastAsia="Times New Roman" w:hAnsi="Arial" w:cs="Arial"/>
          <w:i/>
          <w:iCs/>
          <w:sz w:val="15"/>
          <w:szCs w:val="15"/>
        </w:rPr>
        <w:t>http://www.swcleanair.org/</w:t>
      </w:r>
      <w:r w:rsidRPr="001F70F0">
        <w:rPr>
          <w:rFonts w:ascii="Arial" w:eastAsia="Times New Roman" w:hAnsi="Arial" w:cs="Arial"/>
          <w:sz w:val="15"/>
          <w:szCs w:val="15"/>
        </w:rPr>
        <w:t xml:space="preserve"> </w:t>
      </w:r>
    </w:p>
    <w:p w:rsidR="0061558A"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(viii) Yakima Regional Clean Air Authority (YRCAA), 6 South 2nd Street, Suite 1016, Yakima, WA 98901, </w:t>
      </w:r>
      <w:r w:rsidRPr="001F70F0">
        <w:rPr>
          <w:rFonts w:ascii="Arial" w:eastAsia="Times New Roman" w:hAnsi="Arial" w:cs="Arial"/>
          <w:i/>
          <w:iCs/>
          <w:sz w:val="15"/>
          <w:szCs w:val="15"/>
        </w:rPr>
        <w:t>http://co.yakima.wa.us/cleanair/default.htm</w:t>
      </w:r>
      <w:r w:rsidRPr="001F70F0">
        <w:rPr>
          <w:rFonts w:ascii="Arial" w:eastAsia="Times New Roman" w:hAnsi="Arial" w:cs="Arial"/>
          <w:sz w:val="15"/>
          <w:szCs w:val="15"/>
        </w:rPr>
        <w:t xml:space="preserve"> </w:t>
      </w:r>
    </w:p>
    <w:p w:rsidR="0061558A" w:rsidRDefault="0061558A">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61558A">
      <w:pPr>
        <w:spacing w:before="100" w:beforeAutospacing="1" w:after="100" w:afterAutospacing="1" w:line="240" w:lineRule="auto"/>
        <w:ind w:firstLine="480"/>
        <w:jc w:val="both"/>
        <w:rPr>
          <w:rFonts w:ascii="Arial" w:eastAsia="Times New Roman" w:hAnsi="Arial" w:cs="Arial"/>
          <w:sz w:val="15"/>
          <w:szCs w:val="15"/>
        </w:rPr>
      </w:pPr>
    </w:p>
    <w:p w:rsidR="001F70F0" w:rsidRPr="001F70F0" w:rsidRDefault="001F70F0" w:rsidP="0061558A">
      <w:pPr>
        <w:spacing w:before="100" w:beforeAutospacing="1" w:after="100" w:afterAutospacing="1" w:line="240" w:lineRule="auto"/>
        <w:ind w:firstLine="480"/>
        <w:jc w:val="both"/>
        <w:rPr>
          <w:rFonts w:ascii="Arial" w:eastAsia="Times New Roman" w:hAnsi="Arial" w:cs="Arial"/>
          <w:sz w:val="15"/>
          <w:szCs w:val="15"/>
        </w:rPr>
      </w:pPr>
      <w:r w:rsidRPr="001F70F0">
        <w:rPr>
          <w:rFonts w:ascii="Arial" w:eastAsia="Times New Roman" w:hAnsi="Arial" w:cs="Arial"/>
          <w:sz w:val="15"/>
          <w:szCs w:val="15"/>
        </w:rPr>
        <w:t>(ix)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NSPS Subparts Delegated to Washington Air Agencies</w:t>
      </w:r>
    </w:p>
    <w:tbl>
      <w:tblPr>
        <w:tblW w:w="4994"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66"/>
        <w:gridCol w:w="711"/>
        <w:gridCol w:w="561"/>
        <w:gridCol w:w="694"/>
        <w:gridCol w:w="678"/>
        <w:gridCol w:w="653"/>
        <w:gridCol w:w="761"/>
        <w:gridCol w:w="694"/>
        <w:gridCol w:w="661"/>
      </w:tblGrid>
      <w:tr w:rsidR="001F70F0" w:rsidRPr="001F70F0" w:rsidTr="0061558A">
        <w:trPr>
          <w:trHeight w:val="139"/>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 </w:t>
            </w:r>
            <w:r w:rsidRPr="001F70F0">
              <w:rPr>
                <w:rFonts w:ascii="Arial" w:eastAsia="Times New Roman" w:hAnsi="Arial" w:cs="Arial"/>
                <w:b/>
                <w:bCs/>
                <w:sz w:val="15"/>
                <w:szCs w:val="15"/>
                <w:vertAlign w:val="superscript"/>
              </w:rPr>
              <w:t>1</w:t>
            </w:r>
          </w:p>
        </w:tc>
        <w:tc>
          <w:tcPr>
            <w:tcW w:w="0" w:type="auto"/>
            <w:gridSpan w:val="8"/>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Washington</w:t>
            </w:r>
          </w:p>
        </w:tc>
      </w:tr>
      <w:tr w:rsidR="001F70F0" w:rsidRPr="001F70F0" w:rsidTr="0061558A">
        <w:trPr>
          <w:trHeight w:val="13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Ecology </w:t>
            </w:r>
            <w:r w:rsidRPr="001F70F0">
              <w:rPr>
                <w:rFonts w:ascii="Arial" w:eastAsia="Times New Roman" w:hAnsi="Arial" w:cs="Arial"/>
                <w:b/>
                <w:bCs/>
                <w:sz w:val="15"/>
                <w:szCs w:val="15"/>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BCAA </w:t>
            </w:r>
            <w:r w:rsidRPr="001F70F0">
              <w:rPr>
                <w:rFonts w:ascii="Arial" w:eastAsia="Times New Roman" w:hAnsi="Arial" w:cs="Arial"/>
                <w:b/>
                <w:bCs/>
                <w:sz w:val="15"/>
                <w:szCs w:val="15"/>
                <w:vertAlign w:val="superscript"/>
              </w:rPr>
              <w:t>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NWAPA </w:t>
            </w:r>
            <w:r w:rsidRPr="001F70F0">
              <w:rPr>
                <w:rFonts w:ascii="Arial" w:eastAsia="Times New Roman" w:hAnsi="Arial" w:cs="Arial"/>
                <w:b/>
                <w:bCs/>
                <w:sz w:val="15"/>
                <w:szCs w:val="15"/>
                <w:vertAlign w:val="superscript"/>
              </w:rPr>
              <w:t>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ORCAA </w:t>
            </w:r>
            <w:r w:rsidRPr="001F70F0">
              <w:rPr>
                <w:rFonts w:ascii="Arial" w:eastAsia="Times New Roman" w:hAnsi="Arial" w:cs="Arial"/>
                <w:b/>
                <w:bCs/>
                <w:sz w:val="15"/>
                <w:szCs w:val="15"/>
                <w:vertAlign w:val="superscript"/>
              </w:rPr>
              <w:t>5</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PSCAA </w:t>
            </w:r>
            <w:r w:rsidRPr="001F70F0">
              <w:rPr>
                <w:rFonts w:ascii="Arial" w:eastAsia="Times New Roman" w:hAnsi="Arial" w:cs="Arial"/>
                <w:b/>
                <w:bCs/>
                <w:sz w:val="15"/>
                <w:szCs w:val="15"/>
                <w:vertAlign w:val="superscript"/>
              </w:rPr>
              <w:t>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SCAPCA </w:t>
            </w:r>
            <w:r w:rsidRPr="001F70F0">
              <w:rPr>
                <w:rFonts w:ascii="Arial" w:eastAsia="Times New Roman" w:hAnsi="Arial" w:cs="Arial"/>
                <w:b/>
                <w:bCs/>
                <w:sz w:val="15"/>
                <w:szCs w:val="15"/>
                <w:vertAlign w:val="superscript"/>
              </w:rPr>
              <w:t>7</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SWCAA </w:t>
            </w:r>
            <w:r w:rsidRPr="001F70F0">
              <w:rPr>
                <w:rFonts w:ascii="Arial" w:eastAsia="Times New Roman" w:hAnsi="Arial" w:cs="Arial"/>
                <w:b/>
                <w:bCs/>
                <w:sz w:val="15"/>
                <w:szCs w:val="15"/>
                <w:vertAlign w:val="superscript"/>
              </w:rPr>
              <w:t>8</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YRCAA </w:t>
            </w:r>
            <w:r w:rsidRPr="001F70F0">
              <w:rPr>
                <w:rFonts w:ascii="Arial" w:eastAsia="Times New Roman" w:hAnsi="Arial" w:cs="Arial"/>
                <w:b/>
                <w:bCs/>
                <w:sz w:val="15"/>
                <w:szCs w:val="15"/>
                <w:vertAlign w:val="superscript"/>
              </w:rPr>
              <w:t>9</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   Adoption and Submittal of State Plans for Designated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Cb</w:t>
            </w:r>
            <w:proofErr w:type="spellEnd"/>
            <w:r w:rsidRPr="001F70F0">
              <w:rPr>
                <w:rFonts w:ascii="Arial" w:eastAsia="Times New Roman" w:hAnsi="Arial" w:cs="Arial"/>
                <w:sz w:val="15"/>
                <w:szCs w:val="15"/>
              </w:rPr>
              <w:t>   Large Municipal Waste Combustors that are Constructed on or before September 20, 1994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   Municipal Solid Waste Landfills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Cd</w:t>
            </w:r>
            <w:proofErr w:type="spellEnd"/>
            <w:r w:rsidRPr="001F70F0">
              <w:rPr>
                <w:rFonts w:ascii="Arial" w:eastAsia="Times New Roman" w:hAnsi="Arial" w:cs="Arial"/>
                <w:sz w:val="15"/>
                <w:szCs w:val="15"/>
              </w:rPr>
              <w:t>   Sulfuric Acid Production Units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Ce</w:t>
            </w:r>
            <w:proofErr w:type="spellEnd"/>
            <w:r w:rsidRPr="001F70F0">
              <w:rPr>
                <w:rFonts w:ascii="Arial" w:eastAsia="Times New Roman" w:hAnsi="Arial" w:cs="Arial"/>
                <w:sz w:val="15"/>
                <w:szCs w:val="15"/>
              </w:rPr>
              <w:t>   Hospital/Medical/Infectious Waste Incinerators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   Fossil-Fuel-Fired Steam Generators for which Construction is Commenced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r w:rsidRPr="001F70F0">
              <w:rPr>
                <w:rFonts w:ascii="Arial" w:eastAsia="Times New Roman" w:hAnsi="Arial" w:cs="Arial"/>
                <w:sz w:val="15"/>
                <w:szCs w:val="15"/>
              </w:rPr>
              <w:t>   Electric Utility Steam Generating Units for which Construction is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   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   Municipal Waste Combustors for which Construction is Commenced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r w:rsidRPr="001F70F0">
              <w:rPr>
                <w:rFonts w:ascii="Arial" w:eastAsia="Times New Roman" w:hAnsi="Arial" w:cs="Arial"/>
                <w:sz w:val="15"/>
                <w:szCs w:val="15"/>
              </w:rPr>
              <w:t>—Large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r w:rsidRPr="001F70F0">
              <w:rPr>
                <w:rFonts w:ascii="Arial" w:eastAsia="Times New Roman" w:hAnsi="Arial" w:cs="Arial"/>
                <w:sz w:val="15"/>
                <w:szCs w:val="15"/>
              </w:rPr>
              <w:t>—Hospital/Medical/Infectious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   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   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   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   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   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   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   VOC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   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   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   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   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   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   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   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   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   Primary Aluminum Reduction Plants </w:t>
            </w:r>
            <w:r w:rsidRPr="001F70F0">
              <w:rPr>
                <w:rFonts w:ascii="Arial" w:eastAsia="Times New Roman" w:hAnsi="Arial" w:cs="Arial"/>
                <w:sz w:val="15"/>
                <w:szCs w:val="15"/>
                <w:vertAlign w:val="superscript"/>
              </w:rPr>
              <w:t>10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   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   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   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   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   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   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   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   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r w:rsidRPr="001F70F0">
              <w:rPr>
                <w:rFonts w:ascii="Arial" w:eastAsia="Times New Roman" w:hAnsi="Arial" w:cs="Arial"/>
                <w:sz w:val="15"/>
                <w:szCs w:val="15"/>
              </w:rPr>
              <w:t>   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   Kraft Pulp Mills </w:t>
            </w:r>
            <w:r w:rsidRPr="001F70F0">
              <w:rPr>
                <w:rFonts w:ascii="Arial" w:eastAsia="Times New Roman" w:hAnsi="Arial" w:cs="Arial"/>
                <w:sz w:val="15"/>
                <w:szCs w:val="15"/>
                <w:vertAlign w:val="superscript"/>
              </w:rPr>
              <w:t>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   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   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   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   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   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   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   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   Automobile and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   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   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   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   Pressure Sensitive Tape and Label Surface Coating Standards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   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   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   Asphalt Processing and Asphalt Roof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   Equipment Leaks of VOC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   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   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   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   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   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   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   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   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   VOC Emissions from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   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   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   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   VOC Emissions from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   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   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   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35"/>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   VOCs from Synthetic Organic Chemical Manufacturing Industry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   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   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   </w:t>
            </w: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   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   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681"/>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   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502"/>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BBBB   Small Municipal Waste Combustion Units Constructed on or before August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681"/>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DDDD   Commercial and Industrial Solid Waste Incineration Units that Commenced Construction on or before November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1</w:t>
      </w:r>
      <w:r w:rsidRPr="001F70F0">
        <w:rPr>
          <w:rFonts w:ascii="Arial" w:eastAsia="Times New Roman" w:hAnsi="Arial" w:cs="Arial"/>
          <w:sz w:val="15"/>
          <w:szCs w:val="15"/>
        </w:rPr>
        <w:t xml:space="preserve"> Any authority within any subpart of this part that is not </w:t>
      </w:r>
      <w:proofErr w:type="gramStart"/>
      <w:r w:rsidRPr="001F70F0">
        <w:rPr>
          <w:rFonts w:ascii="Arial" w:eastAsia="Times New Roman" w:hAnsi="Arial" w:cs="Arial"/>
          <w:sz w:val="15"/>
          <w:szCs w:val="15"/>
        </w:rPr>
        <w:t>delegable,</w:t>
      </w:r>
      <w:proofErr w:type="gramEnd"/>
      <w:r w:rsidRPr="001F70F0">
        <w:rPr>
          <w:rFonts w:ascii="Arial" w:eastAsia="Times New Roman" w:hAnsi="Arial" w:cs="Arial"/>
          <w:sz w:val="15"/>
          <w:szCs w:val="15"/>
        </w:rPr>
        <w:t xml:space="preserve"> is not delegated. Please refer to Attachment B to the delegation letters for a listing of the NSPS authorities excluded from delegation.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2</w:t>
      </w:r>
      <w:r w:rsidRPr="001F70F0">
        <w:rPr>
          <w:rFonts w:ascii="Arial" w:eastAsia="Times New Roman" w:hAnsi="Arial" w:cs="Arial"/>
          <w:sz w:val="15"/>
          <w:szCs w:val="15"/>
        </w:rPr>
        <w:t> Washington State Department of Ecology, for 40 CFR 60.17(h)(1), (h)(2), (h)(3) and 40 CFR part 60, subpart AAAA, as in effect on June 6, 2001; for 40 CFR part 60, subpart CCCC, as in effect on June 1, 2001; and for all other NSPS delegated, as in effect February 20, 2001.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3</w:t>
      </w:r>
      <w:r w:rsidRPr="001F70F0">
        <w:rPr>
          <w:rFonts w:ascii="Arial" w:eastAsia="Times New Roman" w:hAnsi="Arial" w:cs="Arial"/>
          <w:sz w:val="15"/>
          <w:szCs w:val="15"/>
        </w:rPr>
        <w:t> Benton Clean Air Authority, for 40 CFR 60.17(h)(1), (h)(2), (h)(3) and 40 CFR part 60, subpart AAAA, as in effect on June 6, 2001; for 40 CFR part 60, subpart CCCC, as in effect on June 1, 2001; and for all other NSPS delegated, as in effect February 20, 2001.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4</w:t>
      </w:r>
      <w:r w:rsidRPr="001F70F0">
        <w:rPr>
          <w:rFonts w:ascii="Arial" w:eastAsia="Times New Roman" w:hAnsi="Arial" w:cs="Arial"/>
          <w:sz w:val="15"/>
          <w:szCs w:val="15"/>
        </w:rPr>
        <w:t> Northwest Air Pollution Authority, for all NSPS delegated, as in effect on July 1, 2000.</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5</w:t>
      </w:r>
      <w:r w:rsidRPr="001F70F0">
        <w:rPr>
          <w:rFonts w:ascii="Arial" w:eastAsia="Times New Roman" w:hAnsi="Arial" w:cs="Arial"/>
          <w:sz w:val="15"/>
          <w:szCs w:val="15"/>
        </w:rPr>
        <w:t> Olympic Regional Clean Air Authority, for 40 CFR 60.17(h)(1), (h)(2), (h)(3) and 40 CFR part 60, subpart AAAA, as in effect on June 6, 2001; for 40 CFR part 60, subpart CCCC, as in effect on June 1, 2001; and for all other NSPS delegated, as in effect February 20, 2001.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6</w:t>
      </w:r>
      <w:r w:rsidRPr="001F70F0">
        <w:rPr>
          <w:rFonts w:ascii="Arial" w:eastAsia="Times New Roman" w:hAnsi="Arial" w:cs="Arial"/>
          <w:sz w:val="15"/>
          <w:szCs w:val="15"/>
        </w:rPr>
        <w:t> Puget Sound Clean Air Authority, for all NSPS delegated, as in effect on July 1, 2002.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7</w:t>
      </w:r>
      <w:r w:rsidRPr="001F70F0">
        <w:rPr>
          <w:rFonts w:ascii="Arial" w:eastAsia="Times New Roman" w:hAnsi="Arial" w:cs="Arial"/>
          <w:sz w:val="15"/>
          <w:szCs w:val="15"/>
        </w:rPr>
        <w:t> Spokane County Air Pollution Control Authority, for 40 CFR 60.17(h)(1), (h)(2), (h)(3) and 40 CFR part 60, subpart AAAA, as in effect on June 6, 2001; for 40 CFR part 60, subpart CCCC, as in effect on June 1, 2001; and for all other NSPS delegated, as in effect February 20, 2001.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8</w:t>
      </w:r>
      <w:r w:rsidRPr="001F70F0">
        <w:rPr>
          <w:rFonts w:ascii="Arial" w:eastAsia="Times New Roman" w:hAnsi="Arial" w:cs="Arial"/>
          <w:sz w:val="15"/>
          <w:szCs w:val="15"/>
        </w:rPr>
        <w:t> Southwest Clean Air Agency, for all NSPS delegated, as in effect on July 1, 2000.</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9</w:t>
      </w:r>
      <w:r w:rsidRPr="001F70F0">
        <w:rPr>
          <w:rFonts w:ascii="Arial" w:eastAsia="Times New Roman" w:hAnsi="Arial" w:cs="Arial"/>
          <w:sz w:val="15"/>
          <w:szCs w:val="15"/>
        </w:rPr>
        <w:t> Yakima Regional Clean Air Authority, for 40 CFR 60.17(h)(1), (h)(2), (h)(3) and 40 CFR part 60, subpart AAAA, as in effect on June 6, 2001; for 40 CFR part 60, subpart CCCC, as in effect on June 1, 2001; and for all other NSPS delegated, as in effect February 20, 2001.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10</w:t>
      </w:r>
      <w:r w:rsidRPr="001F70F0">
        <w:rPr>
          <w:rFonts w:ascii="Arial" w:eastAsia="Times New Roman" w:hAnsi="Arial" w:cs="Arial"/>
          <w:sz w:val="15"/>
          <w:szCs w:val="15"/>
        </w:rPr>
        <w:t> Subpart S of this part is not delegated to local agencies in Washington because the Washington State Department of Ecology retains sole authority to regulate Primary Aluminum Plants, pursuant to Washington Administrative Code 173-415-010.</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11</w:t>
      </w:r>
      <w:r w:rsidRPr="001F70F0">
        <w:rPr>
          <w:rFonts w:ascii="Arial" w:eastAsia="Times New Roman" w:hAnsi="Arial" w:cs="Arial"/>
          <w:sz w:val="15"/>
          <w:szCs w:val="15"/>
        </w:rPr>
        <w:t> 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(XX) State of West Virginia, Department of Environmental Protection, Division of Air Quality, 601 57th Street, SE., Charleston, West Virginia 25304.</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(YY) State of Wisconsin: Wisconsin Department of Natural </w:t>
      </w:r>
      <w:proofErr w:type="spellStart"/>
      <w:r w:rsidRPr="001F70F0">
        <w:rPr>
          <w:rFonts w:ascii="Arial" w:eastAsia="Times New Roman" w:hAnsi="Arial" w:cs="Arial"/>
          <w:sz w:val="15"/>
          <w:szCs w:val="15"/>
        </w:rPr>
        <w:t>Resouces</w:t>
      </w:r>
      <w:proofErr w:type="spellEnd"/>
      <w:r w:rsidRPr="001F70F0">
        <w:rPr>
          <w:rFonts w:ascii="Arial" w:eastAsia="Times New Roman" w:hAnsi="Arial" w:cs="Arial"/>
          <w:sz w:val="15"/>
          <w:szCs w:val="15"/>
        </w:rPr>
        <w:t>, 101 South Webster St., P.O. Box 7921, Madison, Wisconsin 53707-7921.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(ZZ) </w:t>
      </w:r>
      <w:proofErr w:type="gramStart"/>
      <w:r w:rsidRPr="001F70F0">
        <w:rPr>
          <w:rFonts w:ascii="Arial" w:eastAsia="Times New Roman" w:hAnsi="Arial" w:cs="Arial"/>
          <w:sz w:val="15"/>
          <w:szCs w:val="15"/>
        </w:rPr>
        <w:t xml:space="preserve">State of Wyoming, Department of Environmental Quality, Air Quality Division, </w:t>
      </w:r>
      <w:proofErr w:type="spellStart"/>
      <w:r w:rsidRPr="001F70F0">
        <w:rPr>
          <w:rFonts w:ascii="Arial" w:eastAsia="Times New Roman" w:hAnsi="Arial" w:cs="Arial"/>
          <w:sz w:val="15"/>
          <w:szCs w:val="15"/>
        </w:rPr>
        <w:t>Herschler</w:t>
      </w:r>
      <w:proofErr w:type="spellEnd"/>
      <w:r w:rsidRPr="001F70F0">
        <w:rPr>
          <w:rFonts w:ascii="Arial" w:eastAsia="Times New Roman" w:hAnsi="Arial" w:cs="Arial"/>
          <w:sz w:val="15"/>
          <w:szCs w:val="15"/>
        </w:rPr>
        <w:t xml:space="preserve"> Building, 122 West 25th Street, Cheyenne, WY 82002.</w:t>
      </w:r>
      <w:proofErr w:type="gramEnd"/>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paragraph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(AAA) Territory of Guam: Guam Environmental Protection Agency, P.O. Box 22439 GMF, </w:t>
      </w:r>
      <w:proofErr w:type="spellStart"/>
      <w:r w:rsidRPr="001F70F0">
        <w:rPr>
          <w:rFonts w:ascii="Arial" w:eastAsia="Times New Roman" w:hAnsi="Arial" w:cs="Arial"/>
          <w:sz w:val="15"/>
          <w:szCs w:val="15"/>
        </w:rPr>
        <w:t>Barrigada</w:t>
      </w:r>
      <w:proofErr w:type="spellEnd"/>
      <w:r w:rsidRPr="001F70F0">
        <w:rPr>
          <w:rFonts w:ascii="Arial" w:eastAsia="Times New Roman" w:hAnsi="Arial" w:cs="Arial"/>
          <w:sz w:val="15"/>
          <w:szCs w:val="15"/>
        </w:rPr>
        <w:t>, Guam 96921.</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(BBB) Commonwealth of Puerto Rico: Commonwealth of Puerto Rico Environmental Quality Board, P.O. Box 11488, </w:t>
      </w:r>
      <w:proofErr w:type="spellStart"/>
      <w:r w:rsidRPr="001F70F0">
        <w:rPr>
          <w:rFonts w:ascii="Arial" w:eastAsia="Times New Roman" w:hAnsi="Arial" w:cs="Arial"/>
          <w:sz w:val="15"/>
          <w:szCs w:val="15"/>
        </w:rPr>
        <w:t>Santurce</w:t>
      </w:r>
      <w:proofErr w:type="spellEnd"/>
      <w:r w:rsidRPr="001F70F0">
        <w:rPr>
          <w:rFonts w:ascii="Arial" w:eastAsia="Times New Roman" w:hAnsi="Arial" w:cs="Arial"/>
          <w:sz w:val="15"/>
          <w:szCs w:val="15"/>
        </w:rPr>
        <w:t>, PR 00910, Attention: Air Quality Area Director (see table under § 60.4(b</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FF)(1)).</w:t>
      </w:r>
    </w:p>
    <w:p w:rsidR="0061558A" w:rsidRDefault="001F70F0" w:rsidP="0061558A">
      <w:pPr>
        <w:spacing w:before="100" w:beforeAutospacing="1" w:after="100" w:afterAutospacing="1" w:line="240" w:lineRule="auto"/>
        <w:ind w:firstLine="480"/>
        <w:jc w:val="both"/>
        <w:rPr>
          <w:rFonts w:ascii="Arial" w:eastAsia="Times New Roman" w:hAnsi="Arial" w:cs="Arial"/>
          <w:sz w:val="15"/>
          <w:szCs w:val="15"/>
        </w:rPr>
      </w:pPr>
      <w:r w:rsidRPr="001F70F0">
        <w:rPr>
          <w:rFonts w:ascii="Arial" w:eastAsia="Times New Roman" w:hAnsi="Arial" w:cs="Arial"/>
          <w:sz w:val="15"/>
          <w:szCs w:val="15"/>
        </w:rPr>
        <w:t>(CCC) U.S. Virgin Islands: U.S. Virgin Islands Department of Conservation and Cultural Affairs, P.O. Box 578, Charlotte Amalie, St. Thomas, VI 00801.</w:t>
      </w:r>
    </w:p>
    <w:p w:rsidR="0061558A" w:rsidRDefault="0061558A">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(DDD) American Samoa: American Samoa Environmental Protection Agency, P.O. Box PPA, Pago </w:t>
      </w:r>
      <w:proofErr w:type="spellStart"/>
      <w:r w:rsidRPr="001F70F0">
        <w:rPr>
          <w:rFonts w:ascii="Arial" w:eastAsia="Times New Roman" w:hAnsi="Arial" w:cs="Arial"/>
          <w:sz w:val="15"/>
          <w:szCs w:val="15"/>
        </w:rPr>
        <w:t>Pago</w:t>
      </w:r>
      <w:proofErr w:type="spellEnd"/>
      <w:r w:rsidRPr="001F70F0">
        <w:rPr>
          <w:rFonts w:ascii="Arial" w:eastAsia="Times New Roman" w:hAnsi="Arial" w:cs="Arial"/>
          <w:sz w:val="15"/>
          <w:szCs w:val="15"/>
        </w:rPr>
        <w:t>, American Samoa 96799.</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(EEE) Commonwealth of the Northern Mariana Islands: CNMI Division of Environmental Quality, P.O. Box 501304, Saipan, MP 96950.</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The following is a table indicating the delegation status of New Source Performance Standards for Region VIII.</w:t>
      </w:r>
    </w:p>
    <w:p w:rsidR="001F70F0" w:rsidRPr="001F70F0" w:rsidRDefault="001F70F0" w:rsidP="0061558A">
      <w:pPr>
        <w:spacing w:before="100" w:beforeAutospacing="1" w:after="100" w:afterAutospacing="1" w:line="240" w:lineRule="auto"/>
        <w:ind w:firstLine="480"/>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of New Source Performance Standards</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[(NSPS) for Region VIII]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900"/>
        <w:gridCol w:w="255"/>
        <w:gridCol w:w="247"/>
        <w:gridCol w:w="247"/>
        <w:gridCol w:w="239"/>
        <w:gridCol w:w="230"/>
        <w:gridCol w:w="272"/>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UT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WY</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D—Fossil Fuel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r w:rsidRPr="001F70F0">
              <w:rPr>
                <w:rFonts w:ascii="Arial" w:eastAsia="Times New Roman" w:hAnsi="Arial" w:cs="Arial"/>
                <w:sz w:val="15"/>
                <w:szCs w:val="15"/>
              </w:rPr>
              <w:t>—Electric Utility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r w:rsidRPr="001F70F0">
              <w:rPr>
                <w:rFonts w:ascii="Arial" w:eastAsia="Times New Roman" w:hAnsi="Arial" w:cs="Arial"/>
                <w:sz w:val="15"/>
                <w:szCs w:val="15"/>
              </w:rPr>
              <w:t>—Large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r w:rsidRPr="001F70F0">
              <w:rPr>
                <w:rFonts w:ascii="Arial" w:eastAsia="Times New Roman" w:hAnsi="Arial" w:cs="Arial"/>
                <w:sz w:val="15"/>
                <w:szCs w:val="15"/>
              </w:rPr>
              <w:t>—Hospital/Medical/Infectious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K—Petroleum Storage Vessels (after 6/11/73 &amp; prior to</w:t>
            </w:r>
            <w:r w:rsidRPr="001F70F0">
              <w:rPr>
                <w:rFonts w:ascii="Arial" w:eastAsia="Times New Roman" w:hAnsi="Arial" w:cs="Arial"/>
                <w:sz w:val="15"/>
                <w:szCs w:val="15"/>
              </w:rPr>
              <w:br/>
              <w:t>   5/19/78)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Ka—Petroleum Storage Vessels (after 5/18/78 &amp; prior to</w:t>
            </w:r>
            <w:r w:rsidRPr="001F70F0">
              <w:rPr>
                <w:rFonts w:ascii="Arial" w:eastAsia="Times New Roman" w:hAnsi="Arial" w:cs="Arial"/>
                <w:sz w:val="15"/>
                <w:szCs w:val="15"/>
              </w:rPr>
              <w:br/>
              <w:t>   7/23/84)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Kb—Petroleum Storage 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M—Secondary Brass and Bronze Production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N—Primary Emissions from Basic Oxygen Process Furnaces (after 6/11/73)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Na—Secondary Emissions from Basic Oxygen Process Furnaces (after 1/20/83)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AA—Steel Plants: Electric Arc Furnaces (10/21/74-8/17/83)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r w:rsidRPr="001F70F0">
              <w:rPr>
                <w:rFonts w:ascii="Arial" w:eastAsia="Times New Roman" w:hAnsi="Arial" w:cs="Arial"/>
                <w:sz w:val="15"/>
                <w:szCs w:val="15"/>
              </w:rPr>
              <w:t>—Steel Plants: Electric Arc Furnaces and Argon-Oxygen Decarburization Vessels (after 8/7/83)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DD—Grain Elevator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PP—Ammonium Sulfate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RR—Pressure Sensitive Tape &amp; Label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SS—Industrial Surface Coating: Large Applications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UU—Asphalt Processing &amp;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VV—Synthetic Organic Chemicals Manufacturing: Equipment Leaks of VOC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BBB—Rubber Tires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FFF—Flexible Vinyl &amp; Urethane Coating &amp;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III—VOC Emissions from the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NNN—VOC Emissions from the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RRR—VOC Emissions from Synthetic Organic Chemistry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SSS—Magnetic Tape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TTT—Plastic Parts for Business Machine Coatings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VVV—Polymeric Coating of Supporting Substrates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AAAA-Small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CCCC-Commercial and Industrial Solid Waste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bl>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 xml:space="preserve">(*) </w:t>
      </w:r>
      <w:proofErr w:type="gramStart"/>
      <w:r w:rsidRPr="001F70F0">
        <w:rPr>
          <w:rFonts w:ascii="Arial" w:eastAsia="Times New Roman" w:hAnsi="Arial" w:cs="Arial"/>
          <w:sz w:val="15"/>
          <w:szCs w:val="15"/>
        </w:rPr>
        <w:t>Indicates approval of State regulation.</w:t>
      </w:r>
      <w:proofErr w:type="gramEnd"/>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 60.4(b), 60.8(b), 60.9, 60.11(b), 60.11(e), 60.13(a), 60.13(d</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2), 60.13(g), 60.13(</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 xml:space="preserve">(1) </w:t>
      </w:r>
      <w:r w:rsidRPr="001F70F0">
        <w:rPr>
          <w:rFonts w:ascii="Arial" w:eastAsia="Times New Roman" w:hAnsi="Arial" w:cs="Arial"/>
          <w:i/>
          <w:iCs/>
          <w:sz w:val="15"/>
          <w:szCs w:val="15"/>
        </w:rPr>
        <w:t>Arizona.</w:t>
      </w:r>
      <w:r w:rsidRPr="001F70F0">
        <w:rPr>
          <w:rFonts w:ascii="Arial" w:eastAsia="Times New Roman" w:hAnsi="Arial" w:cs="Arial"/>
          <w:sz w:val="15"/>
          <w:szCs w:val="15"/>
        </w:rPr>
        <w:t xml:space="preserve"> The following table identifies delegations for Arizona:</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6529"/>
        <w:gridCol w:w="581"/>
        <w:gridCol w:w="689"/>
        <w:gridCol w:w="547"/>
        <w:gridCol w:w="547"/>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Arizona</w:t>
            </w:r>
            <w:r w:rsidRPr="001F70F0">
              <w:rPr>
                <w:rFonts w:ascii="Arial" w:eastAsia="Times New Roman" w:hAnsi="Arial" w:cs="Arial"/>
                <w:b/>
                <w:bCs/>
                <w:sz w:val="15"/>
                <w:szCs w:val="15"/>
              </w:rPr>
              <w:br/>
              <w:t>DEQ</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Maricopa</w:t>
            </w:r>
            <w:r w:rsidRPr="001F70F0">
              <w:rPr>
                <w:rFonts w:ascii="Arial" w:eastAsia="Times New Roman" w:hAnsi="Arial" w:cs="Arial"/>
                <w:b/>
                <w:bCs/>
                <w:sz w:val="15"/>
                <w:szCs w:val="15"/>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Pima</w:t>
            </w:r>
            <w:r w:rsidRPr="001F70F0">
              <w:rPr>
                <w:rFonts w:ascii="Arial" w:eastAsia="Times New Roman" w:hAnsi="Arial" w:cs="Arial"/>
                <w:b/>
                <w:bCs/>
                <w:sz w:val="15"/>
                <w:szCs w:val="15"/>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Pinal</w:t>
            </w:r>
            <w:r w:rsidRPr="001F70F0">
              <w:rPr>
                <w:rFonts w:ascii="Arial" w:eastAsia="Times New Roman" w:hAnsi="Arial" w:cs="Arial"/>
                <w:b/>
                <w:bCs/>
                <w:sz w:val="15"/>
                <w:szCs w:val="15"/>
              </w:rPr>
              <w:br/>
              <w:t>County</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Ja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VVa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GGGa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 </w:t>
      </w:r>
      <w:r w:rsidRPr="001F70F0">
        <w:rPr>
          <w:rFonts w:ascii="Arial" w:eastAsia="Times New Roman" w:hAnsi="Arial" w:cs="Arial"/>
          <w:i/>
          <w:iCs/>
          <w:sz w:val="15"/>
          <w:szCs w:val="15"/>
        </w:rPr>
        <w:t>California.</w:t>
      </w:r>
      <w:r w:rsidRPr="001F70F0">
        <w:rPr>
          <w:rFonts w:ascii="Arial" w:eastAsia="Times New Roman" w:hAnsi="Arial" w:cs="Arial"/>
          <w:sz w:val="15"/>
          <w:szCs w:val="15"/>
        </w:rPr>
        <w:t xml:space="preserve"> The following tables identify delegations for each of the local air pollution control agencies of California.</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Delegations for Amador County Air Pollution Control District, Antelope Valley Air Quality Management District, Bay Area Air Quality Management District, and Butte County Air Quality Management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5809"/>
        <w:gridCol w:w="736"/>
        <w:gridCol w:w="770"/>
        <w:gridCol w:w="721"/>
        <w:gridCol w:w="857"/>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Amador</w:t>
            </w:r>
            <w:r w:rsidRPr="001F70F0">
              <w:rPr>
                <w:rFonts w:ascii="Arial" w:eastAsia="Times New Roman" w:hAnsi="Arial" w:cs="Arial"/>
                <w:b/>
                <w:bCs/>
                <w:sz w:val="15"/>
                <w:szCs w:val="15"/>
              </w:rPr>
              <w:br/>
              <w:t>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Antelope</w:t>
            </w:r>
            <w:r w:rsidRPr="001F70F0">
              <w:rPr>
                <w:rFonts w:ascii="Arial" w:eastAsia="Times New Roman" w:hAnsi="Arial" w:cs="Arial"/>
                <w:b/>
                <w:bCs/>
                <w:sz w:val="15"/>
                <w:szCs w:val="15"/>
              </w:rPr>
              <w:br/>
              <w:t>Valley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Bay Area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Butte County AQMD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Ja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VVa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GGGa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[Reserved]</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Delegations for Glenn County Air Pollution Control District, Great Basin Unified Air Pollution Control District, Imperial County Air Pollution Control District, and Kern County Air Pollution Control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Glenn County APCD, Great Basin Unified APCD, Imperial County APCD, and Kern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56"/>
        <w:gridCol w:w="5358"/>
        <w:gridCol w:w="716"/>
        <w:gridCol w:w="1028"/>
        <w:gridCol w:w="977"/>
        <w:gridCol w:w="855"/>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Glenn</w:t>
            </w:r>
            <w:r w:rsidRPr="001F70F0">
              <w:rPr>
                <w:rFonts w:ascii="Arial" w:eastAsia="Times New Roman" w:hAnsi="Arial" w:cs="Arial"/>
                <w:b/>
                <w:bCs/>
                <w:sz w:val="15"/>
                <w:szCs w:val="15"/>
              </w:rPr>
              <w:br/>
              <w:t>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Great Basin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Imperial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Kern County APCD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  </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(iv) Delegations</w:t>
      </w:r>
      <w:proofErr w:type="gramEnd"/>
      <w:r w:rsidRPr="001F70F0">
        <w:rPr>
          <w:rFonts w:ascii="Arial" w:eastAsia="Times New Roman" w:hAnsi="Arial" w:cs="Arial"/>
          <w:sz w:val="15"/>
          <w:szCs w:val="15"/>
        </w:rPr>
        <w:t xml:space="preserve"> for Lake County Air Quality Management District, Lassen County Air Pollution Control District, Mariposa County Air Pollution Control District, and Mendocino County Air Pollution Control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Lake County Air Quality Management District, Lassen County Air Pollution Control District, Mariposa County Air Pollution Control District, and Mendocino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55"/>
        <w:gridCol w:w="5014"/>
        <w:gridCol w:w="836"/>
        <w:gridCol w:w="882"/>
        <w:gridCol w:w="1035"/>
        <w:gridCol w:w="1168"/>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Lake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Lassen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Mariposa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Mendocino County AQMD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Delegations for Modoc Air Pollution Control District, Mojave Desert Air Quality Management District, Monterey Bay Unified Air Pollution Control District and North Coast Unified Air Quality Management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5220"/>
        <w:gridCol w:w="830"/>
        <w:gridCol w:w="827"/>
        <w:gridCol w:w="1078"/>
        <w:gridCol w:w="938"/>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Modoc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Mojave Desert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Monterey Bay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North Coast Unified AQMD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Ja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VVa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GGGa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(vi) Delegations</w:t>
      </w:r>
      <w:proofErr w:type="gramEnd"/>
      <w:r w:rsidRPr="001F70F0">
        <w:rPr>
          <w:rFonts w:ascii="Arial" w:eastAsia="Times New Roman" w:hAnsi="Arial" w:cs="Arial"/>
          <w:sz w:val="15"/>
          <w:szCs w:val="15"/>
        </w:rPr>
        <w:t xml:space="preserve"> for Northern Sierra Air Quality Management District, Northern Sonoma County Air Pollution Control District, Placer County Air Pollution Control District, and Sacramento Metropolitan Air Quality Management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Northern Sierra Air Quality Management District, Northern Sonoma County Air Pollution Control District, Placer County Air Pollution Control District, and Sacramento Metropolitan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55"/>
        <w:gridCol w:w="4673"/>
        <w:gridCol w:w="947"/>
        <w:gridCol w:w="1149"/>
        <w:gridCol w:w="827"/>
        <w:gridCol w:w="1339"/>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Northern Sierra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Northern Sonoma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Placer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Sacramento Metropolitan AQMD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4958"/>
        <w:gridCol w:w="874"/>
        <w:gridCol w:w="1082"/>
        <w:gridCol w:w="993"/>
        <w:gridCol w:w="986"/>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San Diego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San Joaquin Valley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San Luis Obispo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Santa Barbara County APCD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Ja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VVa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GGGa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(viii) Delegations for Shasta County Air Quality Management District, Siskiyou County Air Pollution Control District, South Coast Air Quality Management District, and Tehama County Air Pollution Control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8"/>
        <w:gridCol w:w="5549"/>
        <w:gridCol w:w="870"/>
        <w:gridCol w:w="968"/>
        <w:gridCol w:w="778"/>
        <w:gridCol w:w="727"/>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Shasta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Siskiyou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South Coast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Tehama</w:t>
            </w:r>
            <w:r w:rsidRPr="001F70F0">
              <w:rPr>
                <w:rFonts w:ascii="Arial" w:eastAsia="Times New Roman" w:hAnsi="Arial" w:cs="Arial"/>
                <w:b/>
                <w:bCs/>
                <w:sz w:val="15"/>
                <w:szCs w:val="15"/>
              </w:rPr>
              <w:br/>
              <w:t>County APCD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Ja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VVa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GGGa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(ix) Delegations for Tuolumne County Air Pollution Control District, Ventura County Air Pollution Control District, and Yolo-Solano Air Quality Management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8"/>
        <w:gridCol w:w="6001"/>
        <w:gridCol w:w="1106"/>
        <w:gridCol w:w="948"/>
        <w:gridCol w:w="837"/>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Tuolumne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Ventura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Yolo-Solano AQMD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Ja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VVa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GGGa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 </w:t>
      </w:r>
      <w:r w:rsidRPr="001F70F0">
        <w:rPr>
          <w:rFonts w:ascii="Arial" w:eastAsia="Times New Roman" w:hAnsi="Arial" w:cs="Arial"/>
          <w:i/>
          <w:iCs/>
          <w:sz w:val="15"/>
          <w:szCs w:val="15"/>
        </w:rPr>
        <w:t>Hawaii.</w:t>
      </w:r>
      <w:r w:rsidRPr="001F70F0">
        <w:rPr>
          <w:rFonts w:ascii="Arial" w:eastAsia="Times New Roman" w:hAnsi="Arial" w:cs="Arial"/>
          <w:sz w:val="15"/>
          <w:szCs w:val="15"/>
        </w:rPr>
        <w:t xml:space="preserve"> The following table identifies delegations for Hawaii:</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Delegation Status for New Source Performance Standards for Hawaii:</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8387"/>
        <w:gridCol w:w="506"/>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Hawaii</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Ja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VVa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GGGa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 </w:t>
      </w:r>
      <w:r w:rsidRPr="001F70F0">
        <w:rPr>
          <w:rFonts w:ascii="Arial" w:eastAsia="Times New Roman" w:hAnsi="Arial" w:cs="Arial"/>
          <w:i/>
          <w:iCs/>
          <w:sz w:val="15"/>
          <w:szCs w:val="15"/>
        </w:rPr>
        <w:t>Nevada.</w:t>
      </w:r>
      <w:r w:rsidRPr="001F70F0">
        <w:rPr>
          <w:rFonts w:ascii="Arial" w:eastAsia="Times New Roman" w:hAnsi="Arial" w:cs="Arial"/>
          <w:sz w:val="15"/>
          <w:szCs w:val="15"/>
        </w:rPr>
        <w:t xml:space="preserve"> The following table identifies delegations for Nevada:</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6852"/>
        <w:gridCol w:w="712"/>
        <w:gridCol w:w="723"/>
        <w:gridCol w:w="606"/>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Nevada DEP</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Clark 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Washoe</w:t>
            </w:r>
            <w:r w:rsidRPr="001F70F0">
              <w:rPr>
                <w:rFonts w:ascii="Arial" w:eastAsia="Times New Roman" w:hAnsi="Arial" w:cs="Arial"/>
                <w:b/>
                <w:bCs/>
                <w:sz w:val="15"/>
                <w:szCs w:val="15"/>
              </w:rPr>
              <w:br/>
              <w:t>County</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Ja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VVa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GGGa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(5) </w:t>
      </w:r>
      <w:r w:rsidRPr="001F70F0">
        <w:rPr>
          <w:rFonts w:ascii="Arial" w:eastAsia="Times New Roman" w:hAnsi="Arial" w:cs="Arial"/>
          <w:i/>
          <w:iCs/>
          <w:sz w:val="15"/>
          <w:szCs w:val="15"/>
        </w:rPr>
        <w:t>Guam.</w:t>
      </w:r>
      <w:r w:rsidRPr="001F70F0">
        <w:rPr>
          <w:rFonts w:ascii="Arial" w:eastAsia="Times New Roman" w:hAnsi="Arial" w:cs="Arial"/>
          <w:sz w:val="15"/>
          <w:szCs w:val="15"/>
        </w:rPr>
        <w:t xml:space="preserve"> The following table identifies delegations as of June 15, 2001:</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Guam</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22"/>
        <w:gridCol w:w="8712"/>
        <w:gridCol w:w="456"/>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Guam</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bl>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(e) The following lists the specific part 60 standards that have been delegated unchanged to the air pollution control agencies in Region 6.</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 xml:space="preserve">(1) </w:t>
      </w:r>
      <w:r w:rsidRPr="001F70F0">
        <w:rPr>
          <w:rFonts w:ascii="Arial" w:eastAsia="Times New Roman" w:hAnsi="Arial" w:cs="Arial"/>
          <w:i/>
          <w:iCs/>
          <w:sz w:val="15"/>
          <w:szCs w:val="15"/>
        </w:rPr>
        <w:t>New Mexico.</w:t>
      </w:r>
      <w:r w:rsidRPr="001F70F0">
        <w:rPr>
          <w:rFonts w:ascii="Arial" w:eastAsia="Times New Roman" w:hAnsi="Arial" w:cs="Arial"/>
          <w:sz w:val="15"/>
          <w:szCs w:val="15"/>
        </w:rPr>
        <w:t xml:space="preserve"> The New Mexico Environment Department has been delegated all part 60 standards promulgated by EPA, except subpart AAA—Standards of Performance for New Residential Wood Heaters, as amended in the </w:t>
      </w:r>
      <w:r w:rsidRPr="001F70F0">
        <w:rPr>
          <w:rFonts w:ascii="Arial" w:eastAsia="Times New Roman" w:hAnsi="Arial" w:cs="Arial"/>
          <w:smallCaps/>
          <w:sz w:val="15"/>
          <w:szCs w:val="15"/>
        </w:rPr>
        <w:t>Federal Register</w:t>
      </w:r>
      <w:r w:rsidRPr="001F70F0">
        <w:rPr>
          <w:rFonts w:ascii="Arial" w:eastAsia="Times New Roman" w:hAnsi="Arial" w:cs="Arial"/>
          <w:sz w:val="15"/>
          <w:szCs w:val="15"/>
        </w:rPr>
        <w:t xml:space="preserve"> through September 1, 2002.</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 xml:space="preserve">(2) Louisiana. The Louisiana Department of Environmental Quality has been delegated all part 60 standards promulgated by EPA, except subpart AAA—Standards for Performance for New Residential Wood Heaters, as amended in the </w:t>
      </w:r>
      <w:r w:rsidRPr="001F70F0">
        <w:rPr>
          <w:rFonts w:ascii="Arial" w:eastAsia="Times New Roman" w:hAnsi="Arial" w:cs="Arial"/>
          <w:smallCaps/>
          <w:sz w:val="15"/>
          <w:szCs w:val="15"/>
        </w:rPr>
        <w:t>Federal Register</w:t>
      </w:r>
      <w:r w:rsidRPr="001F70F0">
        <w:rPr>
          <w:rFonts w:ascii="Arial" w:eastAsia="Times New Roman" w:hAnsi="Arial" w:cs="Arial"/>
          <w:sz w:val="15"/>
          <w:szCs w:val="15"/>
        </w:rPr>
        <w:t xml:space="preserve"> through July 1, 2008.</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Part 60 Standards—State of Louisiana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97"/>
        <w:gridCol w:w="8290"/>
        <w:gridCol w:w="503"/>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Source category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LDEQ</w:t>
            </w:r>
            <w:r w:rsidRPr="001F70F0">
              <w:rPr>
                <w:rFonts w:ascii="Arial" w:eastAsia="Times New Roman" w:hAnsi="Arial" w:cs="Arial"/>
                <w:b/>
                <w:bCs/>
                <w:sz w:val="15"/>
                <w:szCs w:val="15"/>
                <w:vertAlign w:val="superscript"/>
              </w:rPr>
              <w:t>1</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 Fueled Steam Generators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Da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 (100 to 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Small Steam Generating Units (10 to 100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 (&gt;50 tons per day).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Ec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Ja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(After May 14, 2007). Including amendments issued July 28, 2008. (73 FR 43626)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xml:space="preserve">Volatile Organic Liquid Storage Vessels (Including Petroleum Liquid </w:t>
            </w:r>
            <w:proofErr w:type="spellStart"/>
            <w:r w:rsidRPr="001F70F0">
              <w:rPr>
                <w:rFonts w:ascii="Arial" w:eastAsia="Times New Roman" w:hAnsi="Arial" w:cs="Arial"/>
                <w:sz w:val="15"/>
                <w:szCs w:val="15"/>
              </w:rPr>
              <w:t>Stg</w:t>
            </w:r>
            <w:proofErr w:type="spellEnd"/>
            <w:r w:rsidRPr="001F70F0">
              <w:rPr>
                <w:rFonts w:ascii="Arial" w:eastAsia="Times New Roman" w:hAnsi="Arial" w:cs="Arial"/>
                <w:sz w:val="15"/>
                <w:szCs w:val="15"/>
              </w:rPr>
              <w:t>/Vessels)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(Construction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After 10/21/74 &amp; On or Before 8/17/83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AAa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&amp; Argon-Oxygen Decarburization Vessels After 8/07/83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xml:space="preserve">Surface Coating of Metal </w:t>
            </w:r>
            <w:proofErr w:type="spellStart"/>
            <w:r w:rsidRPr="001F70F0">
              <w:rPr>
                <w:rFonts w:ascii="Arial" w:eastAsia="Times New Roman" w:hAnsi="Arial" w:cs="Arial"/>
                <w:sz w:val="15"/>
                <w:szCs w:val="15"/>
              </w:rPr>
              <w:t>Furnature</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Equipment Leaks in the SOCMI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VVa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Equipment Leaks in the SOCMI Industry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Equipment Leaks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the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Equipment Leaks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Calciners</w:t>
            </w:r>
            <w:proofErr w:type="spellEnd"/>
            <w:r w:rsidRPr="001F70F0">
              <w:rPr>
                <w:rFonts w:ascii="Arial" w:eastAsia="Times New Roman" w:hAnsi="Arial" w:cs="Arial"/>
                <w:sz w:val="15"/>
                <w:szCs w:val="15"/>
              </w:rPr>
              <w:t xml:space="preserve">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(Construction is Commenced After 8/30/99 or Modification/Reconstruction is Commenced After 6/06/2001)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&amp; Industrial Solid Waste Incineration Units (Construction is Commenced After 11/30/1999 or Modification/Reconstruction is Commenced on or After 6/01/2001)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xml:space="preserve">Other Solid Waste Incineration Units (Constructed after 12/09/2004 or </w:t>
            </w:r>
            <w:proofErr w:type="spellStart"/>
            <w:r w:rsidRPr="001F70F0">
              <w:rPr>
                <w:rFonts w:ascii="Arial" w:eastAsia="Times New Roman" w:hAnsi="Arial" w:cs="Arial"/>
                <w:sz w:val="15"/>
                <w:szCs w:val="15"/>
              </w:rPr>
              <w:t>Modicatation</w:t>
            </w:r>
            <w:proofErr w:type="spellEnd"/>
            <w:r w:rsidRPr="001F70F0">
              <w:rPr>
                <w:rFonts w:ascii="Arial" w:eastAsia="Times New Roman" w:hAnsi="Arial" w:cs="Arial"/>
                <w:sz w:val="15"/>
                <w:szCs w:val="15"/>
              </w:rPr>
              <w:t>/Reconstruction is commenced on or after 06/16/2004)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 Including amendments issued October 8, 2008. (73 FR 59175)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 (Construction Commenced After 02/18/2005)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bl>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1</w:t>
      </w:r>
      <w:r w:rsidRPr="001F70F0">
        <w:rPr>
          <w:rFonts w:ascii="Arial" w:eastAsia="Times New Roman" w:hAnsi="Arial" w:cs="Arial"/>
          <w:sz w:val="15"/>
          <w:szCs w:val="15"/>
        </w:rPr>
        <w:t> The Louisiana Department of Environmental Quality (LDEQ) has been delegated all Part 60 standards promulgated by EPA, except subpart AAA—Standards of Performance for New Residential Wood Heaters—as amended in the Federal Register through July 1, 2008.</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 xml:space="preserve">(3) </w:t>
      </w:r>
      <w:r w:rsidRPr="001F70F0">
        <w:rPr>
          <w:rFonts w:ascii="Arial" w:eastAsia="Times New Roman" w:hAnsi="Arial" w:cs="Arial"/>
          <w:i/>
          <w:iCs/>
          <w:sz w:val="15"/>
          <w:szCs w:val="15"/>
        </w:rPr>
        <w:t>Albuquerque-Bernalillo County Air Quality Control Board.</w:t>
      </w:r>
      <w:proofErr w:type="gramEnd"/>
      <w:r w:rsidRPr="001F70F0">
        <w:rPr>
          <w:rFonts w:ascii="Arial" w:eastAsia="Times New Roman" w:hAnsi="Arial" w:cs="Arial"/>
          <w:sz w:val="15"/>
          <w:szCs w:val="15"/>
        </w:rPr>
        <w:t xml:space="preserve"> 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w:t>
      </w:r>
      <w:r w:rsidRPr="001F70F0">
        <w:rPr>
          <w:rFonts w:ascii="Arial" w:eastAsia="Times New Roman" w:hAnsi="Arial" w:cs="Arial"/>
          <w:smallCaps/>
          <w:sz w:val="15"/>
          <w:szCs w:val="15"/>
        </w:rPr>
        <w:t>Federal Register</w:t>
      </w:r>
      <w:r w:rsidRPr="001F70F0">
        <w:rPr>
          <w:rFonts w:ascii="Arial" w:eastAsia="Times New Roman" w:hAnsi="Arial" w:cs="Arial"/>
          <w:sz w:val="15"/>
          <w:szCs w:val="15"/>
        </w:rPr>
        <w:t xml:space="preserve"> through July 1, 2004.</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18169, Apr. 25, 1975]</w:t>
      </w:r>
    </w:p>
    <w:p w:rsidR="001F70F0" w:rsidRPr="001F70F0" w:rsidRDefault="001F70F0" w:rsidP="00335A5D">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Editorial Note:</w:t>
      </w:r>
      <w:r w:rsidRPr="001F70F0">
        <w:rPr>
          <w:rFonts w:ascii="Arial" w:eastAsia="Times New Roman" w:hAnsi="Arial" w:cs="Arial"/>
          <w:sz w:val="14"/>
          <w:szCs w:val="14"/>
        </w:rPr>
        <w:t xml:space="preserve"> For </w:t>
      </w:r>
      <w:r w:rsidRPr="001F70F0">
        <w:rPr>
          <w:rFonts w:ascii="Arial" w:eastAsia="Times New Roman" w:hAnsi="Arial" w:cs="Arial"/>
          <w:smallCaps/>
          <w:sz w:val="14"/>
          <w:szCs w:val="14"/>
        </w:rPr>
        <w:t>Federal Register</w:t>
      </w:r>
      <w:r w:rsidRPr="001F70F0">
        <w:rPr>
          <w:rFonts w:ascii="Arial" w:eastAsia="Times New Roman" w:hAnsi="Arial" w:cs="Arial"/>
          <w:sz w:val="14"/>
          <w:szCs w:val="14"/>
        </w:rPr>
        <w:t xml:space="preserve"> citations affecting § 60.4 see the List of CFR Sections Affected, which appears in the Finding Aids section of the printed volume and at </w:t>
      </w:r>
      <w:proofErr w:type="gramStart"/>
      <w:r w:rsidRPr="001F70F0">
        <w:rPr>
          <w:rFonts w:ascii="Arial" w:eastAsia="Times New Roman" w:hAnsi="Arial" w:cs="Arial"/>
          <w:i/>
          <w:iCs/>
          <w:sz w:val="14"/>
          <w:szCs w:val="14"/>
        </w:rPr>
        <w:t>www.fdsys.gov</w:t>
      </w:r>
      <w:r w:rsidRPr="001F70F0">
        <w:rPr>
          <w:rFonts w:ascii="Arial" w:eastAsia="Times New Roman" w:hAnsi="Arial" w:cs="Arial"/>
          <w:sz w:val="14"/>
          <w:szCs w:val="14"/>
        </w:rPr>
        <w:t xml:space="preserve"> .</w:t>
      </w:r>
      <w:proofErr w:type="gramEnd"/>
      <w:r w:rsidRPr="001F70F0">
        <w:rPr>
          <w:rFonts w:ascii="Arial" w:eastAsia="Times New Roman" w:hAnsi="Arial" w:cs="Arial"/>
          <w:sz w:val="14"/>
          <w:szCs w:val="14"/>
        </w:rPr>
        <w:t xml:space="preserve"> </w:t>
      </w:r>
    </w:p>
    <w:p w:rsidR="00335A5D" w:rsidRDefault="00335A5D">
      <w:pPr>
        <w:rPr>
          <w:rFonts w:ascii="Arial" w:eastAsia="Times New Roman" w:hAnsi="Arial" w:cs="Arial"/>
          <w:b/>
          <w:bCs/>
          <w:sz w:val="15"/>
          <w:szCs w:val="15"/>
        </w:rPr>
      </w:pPr>
      <w:bookmarkStart w:id="5" w:name="40:7.0.1.1.1.1.151.5"/>
      <w:bookmarkEnd w:id="5"/>
      <w:r>
        <w:rPr>
          <w:rFonts w:ascii="Arial" w:eastAsia="Times New Roman" w:hAnsi="Arial" w:cs="Arial"/>
          <w:b/>
          <w:bCs/>
          <w:sz w:val="15"/>
          <w:szCs w:val="15"/>
        </w:rPr>
        <w:br w:type="page"/>
      </w:r>
    </w:p>
    <w:p w:rsidR="001F70F0" w:rsidRPr="001F70F0" w:rsidRDefault="001F70F0" w:rsidP="00335A5D">
      <w:pPr>
        <w:spacing w:before="200" w:after="100" w:line="240" w:lineRule="auto"/>
        <w:outlineLvl w:val="1"/>
        <w:rPr>
          <w:rFonts w:ascii="Arial" w:eastAsia="Times New Roman" w:hAnsi="Arial" w:cs="Arial"/>
          <w:b/>
          <w:bCs/>
          <w:sz w:val="15"/>
          <w:szCs w:val="15"/>
        </w:rPr>
      </w:pPr>
      <w:r w:rsidRPr="001F70F0">
        <w:rPr>
          <w:rFonts w:ascii="Arial" w:eastAsia="Times New Roman" w:hAnsi="Arial" w:cs="Arial"/>
          <w:b/>
          <w:bCs/>
          <w:sz w:val="15"/>
          <w:szCs w:val="15"/>
        </w:rPr>
        <w:t>§ 60.5   Determination of construction or modification.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The Administrator will respond to any request for a determination under paragraph (a) of this section within 30 days of receipt of such request.</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58418, Dec. 16, 1975]</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6" w:name="40:7.0.1.1.1.1.151.6"/>
      <w:bookmarkEnd w:id="6"/>
      <w:r w:rsidRPr="001F70F0">
        <w:rPr>
          <w:rFonts w:ascii="Arial" w:eastAsia="Times New Roman" w:hAnsi="Arial" w:cs="Arial"/>
          <w:b/>
          <w:bCs/>
          <w:sz w:val="15"/>
          <w:szCs w:val="15"/>
        </w:rPr>
        <w:t>§ 60.6   Review of plans.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When requested to do so by an owner or operator, the Administrator will review plans for construction or modification for the purpose of providing technical advice to the owner or operator.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(b)(1) A separate request shall be submitted for each construction or modification project.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[36 FR 24877, Dec. 23, 1971, as amended at 39 FR 9314, Mar. 8, 1974]</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7" w:name="40:7.0.1.1.1.1.151.7"/>
      <w:bookmarkEnd w:id="7"/>
      <w:r w:rsidRPr="001F70F0">
        <w:rPr>
          <w:rFonts w:ascii="Arial" w:eastAsia="Times New Roman" w:hAnsi="Arial" w:cs="Arial"/>
          <w:b/>
          <w:bCs/>
          <w:sz w:val="15"/>
          <w:szCs w:val="15"/>
        </w:rPr>
        <w:t>§ 60.7   Notification and record keeping.</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Any owner or operator subject to the provisions of this part shall furnish the Administrator written notification or, if acceptable to both the Administrator and the owner or operator of a source, electronic notification, as follows: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 notification of the date construction (or reconstruction as defined under § 60.15) of an affected facility is commenced postmarked no later than 30 days after such date. This requirement shall not apply in the case of mass-produced facilities which are purchased in completed form.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 notification of the actual date of initial startup of an affected facility postmarked within 15 days after such date.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 notification of any physical or operational change to an existing facility which may increase the emission rate of any air pollutant to which a standard applies, unless that change is specifically exempted under an applicable subpart or in §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 notification of the date upon which demonstration of the continuous monitoring system performance commences in accordance with § 60.13(c). Notification shall be postmarked not less than 30 days prior to such date.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A notification of the anticipated date for conducting the opacity observations required by § 60.11(e</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 of this part. The notification shall also include, if appropriate, a request for the Administrator to provide a visible emissions reader during a performance test. The notification shall be postmarked not less than 30 days prior to such date.</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A notification that continuous opacity monitoring system data results will be used to determine compliance with the applicable opacity standard during a performance test required by § 60.8 in lieu of Method 9 observation data as allowed by § 60.11(e)(5) of this part. This notification shall be postmarked not less than 30 days prior to the date of the performance test.</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 The magnitude of excess emissions computed in accordance with § 60.13(h), any conversion factor(s) used, and the date and time of commencement and completion of each time period of excess emissions. </w:t>
      </w:r>
      <w:proofErr w:type="gramStart"/>
      <w:r w:rsidRPr="001F70F0">
        <w:rPr>
          <w:rFonts w:ascii="Arial" w:eastAsia="Times New Roman" w:hAnsi="Arial" w:cs="Arial"/>
          <w:sz w:val="15"/>
          <w:szCs w:val="15"/>
        </w:rPr>
        <w:t>The process operating time during the reporting period.</w:t>
      </w:r>
      <w:proofErr w:type="gramEnd"/>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Specific identification of each period of excess emissions that occurs during startups, shutdowns, and malfunctions of the affected facility. The nature and cause of any malfunction (if known), the corrective action taken or preventative measures adopted.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date and time identifying each period during which the continuous monitoring system was inoperative except for zero and span checks and the nature of the system repairs or adjustments.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When no excess emissions have occurred or the continuous monitoring system(s) have not been inoperative, repaired, or adjusted, such information shall be stated in the report.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The summary report form shall contain the information and be in the format shown in figure 1 unless otherwise specified by the Administrator. One summary report form shall be submitted for each pollutant monitored at each affected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 60.7(c) need not be submitted unless requested by the Administrator.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 60.7(c) shall both be submitted.</w:t>
      </w:r>
    </w:p>
    <w:p w:rsidR="001F70F0" w:rsidRPr="001F70F0" w:rsidRDefault="001F70F0" w:rsidP="00335A5D">
      <w:pPr>
        <w:spacing w:before="200" w:after="100" w:line="240" w:lineRule="auto"/>
        <w:jc w:val="center"/>
        <w:outlineLvl w:val="0"/>
        <w:rPr>
          <w:rFonts w:ascii="Arial" w:eastAsia="Times New Roman" w:hAnsi="Arial" w:cs="Arial"/>
          <w:smallCaps/>
          <w:kern w:val="36"/>
          <w:sz w:val="15"/>
          <w:szCs w:val="15"/>
        </w:rPr>
      </w:pPr>
      <w:r w:rsidRPr="001F70F0">
        <w:rPr>
          <w:rFonts w:ascii="Arial" w:eastAsia="Times New Roman" w:hAnsi="Arial" w:cs="Arial"/>
          <w:smallCaps/>
          <w:kern w:val="36"/>
          <w:sz w:val="15"/>
          <w:szCs w:val="15"/>
        </w:rPr>
        <w:t>Figure 1—Summary Report—Gaseous and Opacity Excess Emission and Monitoring System Performance</w:t>
      </w:r>
    </w:p>
    <w:p w:rsidR="001F70F0" w:rsidRPr="001F70F0" w:rsidRDefault="001F70F0" w:rsidP="00335A5D">
      <w:pPr>
        <w:spacing w:before="200" w:after="100" w:line="240" w:lineRule="auto"/>
        <w:ind w:left="480" w:hanging="480"/>
        <w:jc w:val="center"/>
        <w:rPr>
          <w:rFonts w:ascii="Arial" w:eastAsia="Times New Roman" w:hAnsi="Arial" w:cs="Arial"/>
          <w:sz w:val="14"/>
          <w:szCs w:val="14"/>
        </w:rPr>
      </w:pPr>
      <w:r w:rsidRPr="001F70F0">
        <w:rPr>
          <w:rFonts w:ascii="Arial" w:eastAsia="Times New Roman" w:hAnsi="Arial" w:cs="Arial"/>
          <w:sz w:val="14"/>
          <w:szCs w:val="14"/>
        </w:rPr>
        <w:t>Pollutant (Circle One—SO</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/NO</w:t>
      </w:r>
      <w:r w:rsidRPr="001F70F0">
        <w:rPr>
          <w:rFonts w:ascii="Arial" w:eastAsia="Times New Roman" w:hAnsi="Arial" w:cs="Arial"/>
          <w:sz w:val="10"/>
          <w:szCs w:val="10"/>
          <w:vertAlign w:val="subscript"/>
        </w:rPr>
        <w:t>X</w:t>
      </w:r>
      <w:r w:rsidRPr="001F70F0">
        <w:rPr>
          <w:rFonts w:ascii="Arial" w:eastAsia="Times New Roman" w:hAnsi="Arial" w:cs="Arial"/>
          <w:sz w:val="14"/>
          <w:szCs w:val="14"/>
        </w:rPr>
        <w:t xml:space="preserve"> /TRS/H</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S/CO/Opacity)</w:t>
      </w:r>
    </w:p>
    <w:p w:rsidR="001F70F0" w:rsidRPr="001F70F0" w:rsidRDefault="001F70F0" w:rsidP="00335A5D">
      <w:pPr>
        <w:spacing w:before="200" w:after="100" w:line="240" w:lineRule="auto"/>
        <w:ind w:left="480" w:hanging="480"/>
        <w:jc w:val="center"/>
        <w:rPr>
          <w:rFonts w:ascii="Arial" w:eastAsia="Times New Roman" w:hAnsi="Arial" w:cs="Arial"/>
          <w:sz w:val="14"/>
          <w:szCs w:val="14"/>
        </w:rPr>
      </w:pPr>
      <w:r w:rsidRPr="001F70F0">
        <w:rPr>
          <w:rFonts w:ascii="Arial" w:eastAsia="Times New Roman" w:hAnsi="Arial" w:cs="Arial"/>
          <w:sz w:val="14"/>
          <w:szCs w:val="14"/>
        </w:rPr>
        <w:t>Reporting period dates: From _____ to _____</w:t>
      </w:r>
    </w:p>
    <w:p w:rsidR="001F70F0" w:rsidRPr="001F70F0" w:rsidRDefault="001F70F0" w:rsidP="00335A5D">
      <w:pPr>
        <w:spacing w:before="200" w:after="100" w:line="240" w:lineRule="auto"/>
        <w:ind w:left="480" w:hanging="480"/>
        <w:jc w:val="center"/>
        <w:rPr>
          <w:rFonts w:ascii="Arial" w:eastAsia="Times New Roman" w:hAnsi="Arial" w:cs="Arial"/>
          <w:sz w:val="14"/>
          <w:szCs w:val="14"/>
        </w:rPr>
      </w:pPr>
      <w:r w:rsidRPr="001F70F0">
        <w:rPr>
          <w:rFonts w:ascii="Arial" w:eastAsia="Times New Roman" w:hAnsi="Arial" w:cs="Arial"/>
          <w:sz w:val="14"/>
          <w:szCs w:val="14"/>
        </w:rPr>
        <w:t>Company:</w:t>
      </w:r>
    </w:p>
    <w:p w:rsidR="001F70F0" w:rsidRPr="001F70F0" w:rsidRDefault="001F70F0" w:rsidP="00335A5D">
      <w:pPr>
        <w:spacing w:after="0" w:line="240" w:lineRule="auto"/>
        <w:jc w:val="center"/>
        <w:rPr>
          <w:rFonts w:ascii="Arial" w:eastAsia="Times New Roman" w:hAnsi="Arial" w:cs="Arial"/>
          <w:sz w:val="14"/>
          <w:szCs w:val="14"/>
        </w:rPr>
      </w:pPr>
      <w:r w:rsidRPr="001F70F0">
        <w:rPr>
          <w:rFonts w:ascii="Arial" w:eastAsia="Times New Roman" w:hAnsi="Arial" w:cs="Arial"/>
          <w:sz w:val="14"/>
        </w:rPr>
        <w:t>Emission Limitation</w:t>
      </w:r>
    </w:p>
    <w:p w:rsidR="001F70F0" w:rsidRPr="001F70F0" w:rsidRDefault="001F70F0" w:rsidP="00335A5D">
      <w:pPr>
        <w:spacing w:before="200" w:after="100" w:line="240" w:lineRule="auto"/>
        <w:ind w:left="480" w:hanging="480"/>
        <w:jc w:val="center"/>
        <w:rPr>
          <w:rFonts w:ascii="Arial" w:eastAsia="Times New Roman" w:hAnsi="Arial" w:cs="Arial"/>
          <w:sz w:val="14"/>
          <w:szCs w:val="14"/>
        </w:rPr>
      </w:pPr>
      <w:r w:rsidRPr="001F70F0">
        <w:rPr>
          <w:rFonts w:ascii="Arial" w:eastAsia="Times New Roman" w:hAnsi="Arial" w:cs="Arial"/>
          <w:sz w:val="14"/>
          <w:szCs w:val="14"/>
        </w:rPr>
        <w:t>Address:</w:t>
      </w:r>
    </w:p>
    <w:p w:rsidR="001F70F0" w:rsidRPr="001F70F0" w:rsidRDefault="001F70F0" w:rsidP="00335A5D">
      <w:pPr>
        <w:spacing w:after="0" w:line="240" w:lineRule="auto"/>
        <w:jc w:val="center"/>
        <w:rPr>
          <w:rFonts w:ascii="Arial" w:eastAsia="Times New Roman" w:hAnsi="Arial" w:cs="Arial"/>
          <w:sz w:val="14"/>
          <w:szCs w:val="14"/>
        </w:rPr>
      </w:pPr>
      <w:proofErr w:type="gramStart"/>
      <w:r w:rsidRPr="001F70F0">
        <w:rPr>
          <w:rFonts w:ascii="Arial" w:eastAsia="Times New Roman" w:hAnsi="Arial" w:cs="Arial"/>
          <w:sz w:val="14"/>
        </w:rPr>
        <w:t>Monitor Manufacturer and Model No.</w:t>
      </w:r>
      <w:proofErr w:type="gramEnd"/>
    </w:p>
    <w:p w:rsidR="001F70F0" w:rsidRPr="001F70F0" w:rsidRDefault="001F70F0" w:rsidP="00335A5D">
      <w:pPr>
        <w:spacing w:after="0" w:line="240" w:lineRule="auto"/>
        <w:jc w:val="center"/>
        <w:rPr>
          <w:rFonts w:ascii="Arial" w:eastAsia="Times New Roman" w:hAnsi="Arial" w:cs="Arial"/>
          <w:sz w:val="14"/>
          <w:szCs w:val="14"/>
        </w:rPr>
      </w:pPr>
      <w:r w:rsidRPr="001F70F0">
        <w:rPr>
          <w:rFonts w:ascii="Arial" w:eastAsia="Times New Roman" w:hAnsi="Arial" w:cs="Arial"/>
          <w:sz w:val="14"/>
        </w:rPr>
        <w:t>Date of Latest CMS Certification or Audit</w:t>
      </w:r>
    </w:p>
    <w:p w:rsidR="001F70F0" w:rsidRPr="001F70F0" w:rsidRDefault="001F70F0" w:rsidP="00335A5D">
      <w:pPr>
        <w:spacing w:before="200" w:after="100" w:line="240" w:lineRule="auto"/>
        <w:ind w:left="480" w:hanging="480"/>
        <w:jc w:val="center"/>
        <w:rPr>
          <w:rFonts w:ascii="Arial" w:eastAsia="Times New Roman" w:hAnsi="Arial" w:cs="Arial"/>
          <w:sz w:val="14"/>
          <w:szCs w:val="14"/>
        </w:rPr>
      </w:pPr>
      <w:r w:rsidRPr="001F70F0">
        <w:rPr>
          <w:rFonts w:ascii="Arial" w:eastAsia="Times New Roman" w:hAnsi="Arial" w:cs="Arial"/>
          <w:sz w:val="14"/>
          <w:szCs w:val="14"/>
        </w:rPr>
        <w:t>Process Unit(s) Description:</w:t>
      </w:r>
    </w:p>
    <w:p w:rsidR="001F70F0" w:rsidRPr="001F70F0" w:rsidRDefault="001F70F0" w:rsidP="00335A5D">
      <w:pPr>
        <w:spacing w:line="240" w:lineRule="auto"/>
        <w:jc w:val="center"/>
        <w:rPr>
          <w:rFonts w:ascii="Arial" w:eastAsia="Times New Roman" w:hAnsi="Arial" w:cs="Arial"/>
          <w:sz w:val="14"/>
          <w:szCs w:val="14"/>
        </w:rPr>
      </w:pPr>
      <w:r w:rsidRPr="001F70F0">
        <w:rPr>
          <w:rFonts w:ascii="Arial" w:eastAsia="Times New Roman" w:hAnsi="Arial" w:cs="Arial"/>
          <w:sz w:val="14"/>
        </w:rPr>
        <w:t>Total source operating time in reporting period </w:t>
      </w:r>
      <w:r w:rsidRPr="001F70F0">
        <w:rPr>
          <w:rFonts w:ascii="Arial" w:eastAsia="Times New Roman" w:hAnsi="Arial" w:cs="Arial"/>
          <w:sz w:val="10"/>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33"/>
        <w:gridCol w:w="261"/>
        <w:gridCol w:w="4035"/>
        <w:gridCol w:w="261"/>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Emission data summary </w:t>
            </w:r>
            <w:r w:rsidRPr="001F70F0">
              <w:rPr>
                <w:rFonts w:ascii="Arial" w:eastAsia="Times New Roman" w:hAnsi="Arial" w:cs="Arial"/>
                <w:b/>
                <w:bCs/>
                <w:sz w:val="15"/>
                <w:szCs w:val="15"/>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CMS performance summary </w:t>
            </w:r>
            <w:r w:rsidRPr="001F70F0">
              <w:rPr>
                <w:rFonts w:ascii="Arial" w:eastAsia="Times New Roman" w:hAnsi="Arial" w:cs="Arial"/>
                <w:b/>
                <w:bCs/>
                <w:sz w:val="15"/>
                <w:szCs w:val="15"/>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 Duration of excess emissions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 CMS downtime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 Startup/shutdown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a. 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 Control equipment problems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b. Non-Monitor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 Process problems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c. Quality assurance calibration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 Total duration of excess emission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 Total CMS Downtime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 Total duration of excess emissions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r w:rsidRPr="001F70F0">
              <w:rPr>
                <w:rFonts w:ascii="Arial" w:eastAsia="Times New Roman" w:hAnsi="Arial" w:cs="Arial"/>
                <w:sz w:val="15"/>
                <w:szCs w:val="15"/>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 [Total CMS Downtime]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r w:rsidRPr="001F70F0">
              <w:rPr>
                <w:rFonts w:ascii="Arial" w:eastAsia="Times New Roman" w:hAnsi="Arial" w:cs="Arial"/>
                <w:sz w:val="15"/>
                <w:szCs w:val="15"/>
                <w:vertAlign w:val="superscript"/>
              </w:rPr>
              <w:t>2</w:t>
            </w:r>
          </w:p>
        </w:tc>
      </w:tr>
    </w:tbl>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4"/>
          <w:szCs w:val="14"/>
        </w:rPr>
      </w:pPr>
      <w:r w:rsidRPr="001F70F0">
        <w:rPr>
          <w:rFonts w:ascii="Arial" w:eastAsia="Times New Roman" w:hAnsi="Arial" w:cs="Arial"/>
          <w:sz w:val="14"/>
          <w:szCs w:val="14"/>
          <w:vertAlign w:val="superscript"/>
        </w:rPr>
        <w:t>1</w:t>
      </w:r>
      <w:r w:rsidRPr="001F70F0">
        <w:rPr>
          <w:rFonts w:ascii="Arial" w:eastAsia="Times New Roman" w:hAnsi="Arial" w:cs="Arial"/>
          <w:sz w:val="14"/>
          <w:szCs w:val="14"/>
        </w:rPr>
        <w:t> For opacity, record all times in minutes. For gases, record all times in hours.</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4"/>
          <w:szCs w:val="14"/>
        </w:rPr>
      </w:pPr>
      <w:r w:rsidRPr="001F70F0">
        <w:rPr>
          <w:rFonts w:ascii="Arial" w:eastAsia="Times New Roman" w:hAnsi="Arial" w:cs="Arial"/>
          <w:sz w:val="14"/>
          <w:szCs w:val="14"/>
          <w:vertAlign w:val="superscript"/>
        </w:rPr>
        <w:t>2</w:t>
      </w:r>
      <w:r w:rsidRPr="001F70F0">
        <w:rPr>
          <w:rFonts w:ascii="Arial" w:eastAsia="Times New Roman" w:hAnsi="Arial" w:cs="Arial"/>
          <w:sz w:val="14"/>
          <w:szCs w:val="14"/>
        </w:rPr>
        <w:t> For the reporting period: If the total duration of excess emissions is 1 percent or greater of the total operating time or the total CMS downtime is 5 percent or greater of the total operating time, both the summary report form and the excess emission report described in § 60.7(c) shall be submitted.</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4"/>
          <w:szCs w:val="14"/>
        </w:rPr>
      </w:pPr>
      <w:r w:rsidRPr="001F70F0">
        <w:rPr>
          <w:rFonts w:ascii="Arial" w:eastAsia="Times New Roman" w:hAnsi="Arial" w:cs="Arial"/>
          <w:sz w:val="14"/>
          <w:szCs w:val="14"/>
        </w:rPr>
        <w:t>On a separate page, describe any changes since last quarter in CMS, process or controls. I certify that the information contained in this report is true, accurate, and complete.</w:t>
      </w:r>
    </w:p>
    <w:p w:rsidR="001F70F0" w:rsidRPr="001F70F0" w:rsidRDefault="001F70F0" w:rsidP="001F70F0">
      <w:pPr>
        <w:spacing w:after="0" w:line="240" w:lineRule="auto"/>
        <w:rPr>
          <w:rFonts w:ascii="Arial" w:eastAsia="Times New Roman" w:hAnsi="Arial" w:cs="Arial"/>
          <w:sz w:val="14"/>
          <w:szCs w:val="14"/>
        </w:rPr>
      </w:pPr>
      <w:r w:rsidRPr="001F70F0">
        <w:rPr>
          <w:rFonts w:ascii="Arial" w:eastAsia="Times New Roman" w:hAnsi="Arial" w:cs="Arial"/>
          <w:sz w:val="14"/>
        </w:rPr>
        <w:t> </w:t>
      </w:r>
    </w:p>
    <w:p w:rsidR="001F70F0" w:rsidRPr="001F70F0" w:rsidRDefault="001F70F0" w:rsidP="001F70F0">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Name</w:t>
      </w:r>
    </w:p>
    <w:p w:rsidR="001F70F0" w:rsidRPr="001F70F0" w:rsidRDefault="001F70F0" w:rsidP="001F70F0">
      <w:pPr>
        <w:spacing w:after="0" w:line="240" w:lineRule="auto"/>
        <w:rPr>
          <w:rFonts w:ascii="Arial" w:eastAsia="Times New Roman" w:hAnsi="Arial" w:cs="Arial"/>
          <w:sz w:val="14"/>
          <w:szCs w:val="14"/>
        </w:rPr>
      </w:pPr>
      <w:r w:rsidRPr="001F70F0">
        <w:rPr>
          <w:rFonts w:ascii="Arial" w:eastAsia="Times New Roman" w:hAnsi="Arial" w:cs="Arial"/>
          <w:sz w:val="14"/>
        </w:rPr>
        <w:t> </w:t>
      </w:r>
    </w:p>
    <w:p w:rsidR="001F70F0" w:rsidRPr="001F70F0" w:rsidRDefault="001F70F0" w:rsidP="001F70F0">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Signature</w:t>
      </w:r>
    </w:p>
    <w:p w:rsidR="001F70F0" w:rsidRPr="001F70F0" w:rsidRDefault="001F70F0" w:rsidP="001F70F0">
      <w:pPr>
        <w:spacing w:after="0" w:line="240" w:lineRule="auto"/>
        <w:rPr>
          <w:rFonts w:ascii="Arial" w:eastAsia="Times New Roman" w:hAnsi="Arial" w:cs="Arial"/>
          <w:sz w:val="14"/>
          <w:szCs w:val="14"/>
        </w:rPr>
      </w:pPr>
      <w:r w:rsidRPr="001F70F0">
        <w:rPr>
          <w:rFonts w:ascii="Arial" w:eastAsia="Times New Roman" w:hAnsi="Arial" w:cs="Arial"/>
          <w:sz w:val="14"/>
        </w:rPr>
        <w:t> </w:t>
      </w:r>
    </w:p>
    <w:p w:rsidR="001F70F0" w:rsidRPr="001F70F0" w:rsidRDefault="001F70F0" w:rsidP="001F70F0">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Title</w:t>
      </w:r>
    </w:p>
    <w:p w:rsidR="001F70F0" w:rsidRPr="001F70F0" w:rsidRDefault="001F70F0" w:rsidP="001F70F0">
      <w:pPr>
        <w:spacing w:after="0" w:line="240" w:lineRule="auto"/>
        <w:rPr>
          <w:rFonts w:ascii="Arial" w:eastAsia="Times New Roman" w:hAnsi="Arial" w:cs="Arial"/>
          <w:sz w:val="14"/>
          <w:szCs w:val="14"/>
        </w:rPr>
      </w:pPr>
      <w:r w:rsidRPr="001F70F0">
        <w:rPr>
          <w:rFonts w:ascii="Arial" w:eastAsia="Times New Roman" w:hAnsi="Arial" w:cs="Arial"/>
          <w:sz w:val="14"/>
        </w:rPr>
        <w:t> </w:t>
      </w:r>
    </w:p>
    <w:p w:rsidR="001F70F0" w:rsidRPr="001F70F0" w:rsidRDefault="001F70F0" w:rsidP="001F70F0">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Date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The owner or operator continues to comply with all recordkeeping and monitoring requirements specified in this subpart and the applicable standard; and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The Administrator does not object to a reduced frequency of reporting for the affected facility, as provided in paragraph (e</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2)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w:t>
      </w:r>
      <w:proofErr w:type="spellStart"/>
      <w:r w:rsidRPr="001F70F0">
        <w:rPr>
          <w:rFonts w:ascii="Arial" w:eastAsia="Times New Roman" w:hAnsi="Arial" w:cs="Arial"/>
          <w:sz w:val="15"/>
          <w:szCs w:val="15"/>
        </w:rPr>
        <w:t>noncomplying</w:t>
      </w:r>
      <w:proofErr w:type="spellEnd"/>
      <w:r w:rsidRPr="001F70F0">
        <w:rPr>
          <w:rFonts w:ascii="Arial" w:eastAsia="Times New Roman" w:hAnsi="Arial" w:cs="Arial"/>
          <w:sz w:val="15"/>
          <w:szCs w:val="15"/>
        </w:rPr>
        <w:t xml:space="preserve">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1F70F0">
        <w:rPr>
          <w:rFonts w:ascii="Arial" w:eastAsia="Times New Roman" w:hAnsi="Arial" w:cs="Arial"/>
          <w:sz w:val="15"/>
          <w:szCs w:val="15"/>
        </w:rPr>
        <w:t>subhourly</w:t>
      </w:r>
      <w:proofErr w:type="spellEnd"/>
      <w:r w:rsidRPr="001F70F0">
        <w:rPr>
          <w:rFonts w:ascii="Arial" w:eastAsia="Times New Roman" w:hAnsi="Arial" w:cs="Arial"/>
          <w:sz w:val="15"/>
          <w:szCs w:val="15"/>
        </w:rPr>
        <w:t xml:space="preserve"> measurements as required under paragraph (f) of this section, the owner or operator shall retain the most recent consecutive three averaging periods of </w:t>
      </w:r>
      <w:proofErr w:type="spellStart"/>
      <w:r w:rsidRPr="001F70F0">
        <w:rPr>
          <w:rFonts w:ascii="Arial" w:eastAsia="Times New Roman" w:hAnsi="Arial" w:cs="Arial"/>
          <w:sz w:val="15"/>
          <w:szCs w:val="15"/>
        </w:rPr>
        <w:t>subhourly</w:t>
      </w:r>
      <w:proofErr w:type="spellEnd"/>
      <w:r w:rsidRPr="001F70F0">
        <w:rPr>
          <w:rFonts w:ascii="Arial" w:eastAsia="Times New Roman" w:hAnsi="Arial" w:cs="Arial"/>
          <w:sz w:val="15"/>
          <w:szCs w:val="15"/>
        </w:rPr>
        <w:t xml:space="preserve"> measurements and a file that contains a hard copy of the data acquisition system algorithm used to reduce the measured data into the reportable form of the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1F70F0">
        <w:rPr>
          <w:rFonts w:ascii="Arial" w:eastAsia="Times New Roman" w:hAnsi="Arial" w:cs="Arial"/>
          <w:sz w:val="15"/>
          <w:szCs w:val="15"/>
        </w:rPr>
        <w:t>subhourly</w:t>
      </w:r>
      <w:proofErr w:type="spellEnd"/>
      <w:r w:rsidRPr="001F70F0">
        <w:rPr>
          <w:rFonts w:ascii="Arial" w:eastAsia="Times New Roman" w:hAnsi="Arial" w:cs="Arial"/>
          <w:sz w:val="15"/>
          <w:szCs w:val="15"/>
        </w:rPr>
        <w:t xml:space="preserve"> measurements as required under paragraph (f) of this section, the owner or operator shall retain all </w:t>
      </w:r>
      <w:proofErr w:type="spellStart"/>
      <w:r w:rsidRPr="001F70F0">
        <w:rPr>
          <w:rFonts w:ascii="Arial" w:eastAsia="Times New Roman" w:hAnsi="Arial" w:cs="Arial"/>
          <w:sz w:val="15"/>
          <w:szCs w:val="15"/>
        </w:rPr>
        <w:t>subhourly</w:t>
      </w:r>
      <w:proofErr w:type="spellEnd"/>
      <w:r w:rsidRPr="001F70F0">
        <w:rPr>
          <w:rFonts w:ascii="Arial" w:eastAsia="Times New Roman" w:hAnsi="Arial" w:cs="Arial"/>
          <w:sz w:val="15"/>
          <w:szCs w:val="15"/>
        </w:rPr>
        <w:t xml:space="preserve"> measurements for the most recent reporting period. The </w:t>
      </w:r>
      <w:proofErr w:type="spellStart"/>
      <w:r w:rsidRPr="001F70F0">
        <w:rPr>
          <w:rFonts w:ascii="Arial" w:eastAsia="Times New Roman" w:hAnsi="Arial" w:cs="Arial"/>
          <w:sz w:val="15"/>
          <w:szCs w:val="15"/>
        </w:rPr>
        <w:t>subhourly</w:t>
      </w:r>
      <w:proofErr w:type="spellEnd"/>
      <w:r w:rsidRPr="001F70F0">
        <w:rPr>
          <w:rFonts w:ascii="Arial" w:eastAsia="Times New Roman" w:hAnsi="Arial" w:cs="Arial"/>
          <w:sz w:val="15"/>
          <w:szCs w:val="15"/>
        </w:rPr>
        <w:t xml:space="preserve"> measurements shall be retained for 120 days from the date of the most recent summary or excess emission report submitted to the Administrator.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If notification substantially similar to that in paragraph (a) of this section is required by any other State or local agency, sending the Administrator a copy of that notification will satisfy the requirements of paragraph (a)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(h) Individual subparts of this part may include specific provisions which clarify or make inapplicable the provisions set forth in this section.</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8" w:name="40:7.0.1.1.1.1.151.8"/>
      <w:bookmarkEnd w:id="8"/>
      <w:r w:rsidRPr="001F70F0">
        <w:rPr>
          <w:rFonts w:ascii="Arial" w:eastAsia="Times New Roman" w:hAnsi="Arial" w:cs="Arial"/>
          <w:b/>
          <w:bCs/>
          <w:sz w:val="15"/>
          <w:szCs w:val="15"/>
        </w:rPr>
        <w:t>§ 60.8   Performance tests.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Until an extension of the performance test deadline has been approved by the Administrator under paragraphs (a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 (2), and (3) of this section, the owner or operator of the affected facility remains strictly subject to the requirements of this part.</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The owner or operator of an affected facility shall provide, or cause to be provided, performance testing facilities as follows: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Sampling ports adequate for test methods applicable to such facility. This includes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Safe sampling platform(s).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Safe access to sampling platform(s).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Utilities for sampling and testing equipment.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1F70F0">
        <w:rPr>
          <w:rFonts w:ascii="Arial" w:eastAsia="Times New Roman" w:hAnsi="Arial" w:cs="Arial"/>
          <w:sz w:val="15"/>
          <w:szCs w:val="15"/>
        </w:rPr>
        <w:t>“Commercially available” means that two or more independent AASPs have blind audit samples available for purchase.</w:t>
      </w:r>
      <w:proofErr w:type="gramEnd"/>
      <w:r w:rsidRPr="001F70F0">
        <w:rPr>
          <w:rFonts w:ascii="Arial" w:eastAsia="Times New Roman" w:hAnsi="Arial" w:cs="Arial"/>
          <w:sz w:val="15"/>
          <w:szCs w:val="15"/>
        </w:rPr>
        <w:t xml:space="preserve"> If the source owner, operator, or representative cannot find an audit sample for a specific method, the owner, operator, or representative shall consult the EPA Web site at the following URL, </w:t>
      </w:r>
      <w:r w:rsidRPr="001F70F0">
        <w:rPr>
          <w:rFonts w:ascii="Arial" w:eastAsia="Times New Roman" w:hAnsi="Arial" w:cs="Arial"/>
          <w:i/>
          <w:iCs/>
          <w:sz w:val="15"/>
          <w:szCs w:val="15"/>
        </w:rPr>
        <w:t>http://www.epa.gov/ttn/emc,</w:t>
      </w:r>
      <w:r w:rsidRPr="001F70F0">
        <w:rPr>
          <w:rFonts w:ascii="Arial" w:eastAsia="Times New Roman" w:hAnsi="Arial" w:cs="Arial"/>
          <w:sz w:val="15"/>
          <w:szCs w:val="15"/>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Preparing the sample;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Confirming the true concentration of the sample;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(iv) Providing</w:t>
      </w:r>
      <w:proofErr w:type="gramEnd"/>
      <w:r w:rsidRPr="001F70F0">
        <w:rPr>
          <w:rFonts w:ascii="Arial" w:eastAsia="Times New Roman" w:hAnsi="Arial" w:cs="Arial"/>
          <w:sz w:val="15"/>
          <w:szCs w:val="15"/>
        </w:rPr>
        <w:t xml:space="preserve"> the opportunity for the compliance authority to comment on the selected concentration level for an audit sample;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Distributing the sample to the user in a manner that guarantees that the true value of the sample is unknown to the user;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(vi) Recording</w:t>
      </w:r>
      <w:proofErr w:type="gramEnd"/>
      <w:r w:rsidRPr="001F70F0">
        <w:rPr>
          <w:rFonts w:ascii="Arial" w:eastAsia="Times New Roman" w:hAnsi="Arial" w:cs="Arial"/>
          <w:sz w:val="15"/>
          <w:szCs w:val="15"/>
        </w:rPr>
        <w:t xml:space="preserve"> the measured concentration reported by the user and determining if the measured value is within acceptable limits;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(viii) Evaluating the acceptance limits of samples at least once every two years to determine in cooperation with the voluntary consensus standard body if they should be changed;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Checking audit samples to confirm their true value as reported by the AASP;</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Performing technical systems audits of the AASP's facilities and operating procedures at least once every two years;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Providing standards for use by the voluntary consensus standard body to approve the accrediting body that will accredit the audit sample providers.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1F70F0">
        <w:rPr>
          <w:rFonts w:ascii="Arial" w:eastAsia="Times New Roman" w:hAnsi="Arial" w:cs="Arial"/>
          <w:sz w:val="15"/>
          <w:szCs w:val="15"/>
        </w:rPr>
        <w:t>NW.,</w:t>
      </w:r>
      <w:proofErr w:type="gramEnd"/>
      <w:r w:rsidRPr="001F70F0">
        <w:rPr>
          <w:rFonts w:ascii="Arial" w:eastAsia="Times New Roman" w:hAnsi="Arial" w:cs="Arial"/>
          <w:sz w:val="15"/>
          <w:szCs w:val="15"/>
        </w:rPr>
        <w:t xml:space="preserve"> Washington, DC 20503, by calling (202) 395-6880 or downloading online at </w:t>
      </w:r>
      <w:r w:rsidRPr="001F70F0">
        <w:rPr>
          <w:rFonts w:ascii="Arial" w:eastAsia="Times New Roman" w:hAnsi="Arial" w:cs="Arial"/>
          <w:i/>
          <w:iCs/>
          <w:sz w:val="15"/>
          <w:szCs w:val="15"/>
        </w:rPr>
        <w:t>http://standards.gov/standards_gov/a119.cfm.</w:t>
      </w:r>
      <w:r w:rsidRPr="001F70F0">
        <w:rPr>
          <w:rFonts w:ascii="Arial" w:eastAsia="Times New Roman" w:hAnsi="Arial" w:cs="Arial"/>
          <w:sz w:val="15"/>
          <w:szCs w:val="15"/>
        </w:rPr>
        <w:t xml:space="preserve"> The VCSB shall approve all accrediting bodies. The Administrator will review all technical criteria documents. If the technical criteria documents do not meet the minimum technical requirements in paragraphs (g</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1F70F0">
        <w:rPr>
          <w:rFonts w:ascii="Arial" w:eastAsia="Times New Roman" w:hAnsi="Arial" w:cs="Arial"/>
          <w:i/>
          <w:iCs/>
          <w:sz w:val="15"/>
          <w:szCs w:val="15"/>
        </w:rPr>
        <w:t>http://www.epa.gov/ttn/emc.</w:t>
      </w:r>
      <w:r w:rsidRPr="001F70F0">
        <w:rPr>
          <w:rFonts w:ascii="Arial" w:eastAsia="Times New Roman" w:hAnsi="Arial" w:cs="Arial"/>
          <w:sz w:val="15"/>
          <w:szCs w:val="15"/>
        </w:rPr>
        <w:t xml:space="preserve"> </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[36 FR 24877, Dec. 23, 1971, as amended at 39 FR 9314, Mar. 8, 1974; 42 FR 57126, Nov. 1, 1977; 44 FR 33612, June 11, 1979; 54 FR 6662, Feb. 14, 1989; 54 FR 21344, May 17, 1989; 64 FR 7463, Feb. 12, 1999; 72 FR 27442, May 16, 2007; 75 FR 55646, Sept. 13, 2010]</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9" w:name="40:7.0.1.1.1.1.151.9"/>
      <w:bookmarkEnd w:id="9"/>
      <w:r w:rsidRPr="001F70F0">
        <w:rPr>
          <w:rFonts w:ascii="Arial" w:eastAsia="Times New Roman" w:hAnsi="Arial" w:cs="Arial"/>
          <w:b/>
          <w:bCs/>
          <w:sz w:val="15"/>
          <w:szCs w:val="15"/>
        </w:rPr>
        <w:t>§ 60.9   Availability of information.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The availability to the public of information provided to, or otherwise obtained by, the Administrator under this part shall be governed by part 2 of this chapter. (Information submitted voluntarily to the Administrator for the purposes of §§ 60.5 and 60.6 is governed by §§ 2.201 through 2.213 of this chapter and not by § 2.301 of this chapter.)</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0" w:name="40:7.0.1.1.1.1.151.10"/>
      <w:bookmarkEnd w:id="10"/>
      <w:proofErr w:type="gramStart"/>
      <w:r w:rsidRPr="001F70F0">
        <w:rPr>
          <w:rFonts w:ascii="Arial" w:eastAsia="Times New Roman" w:hAnsi="Arial" w:cs="Arial"/>
          <w:b/>
          <w:bCs/>
          <w:sz w:val="15"/>
          <w:szCs w:val="15"/>
        </w:rPr>
        <w:t>§ 60.10   State authority</w:t>
      </w:r>
      <w:proofErr w:type="gramEnd"/>
      <w:r w:rsidRPr="001F70F0">
        <w:rPr>
          <w:rFonts w:ascii="Arial" w:eastAsia="Times New Roman" w:hAnsi="Arial" w:cs="Arial"/>
          <w:b/>
          <w:bCs/>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The provisions of this part shall not be construed in any manner to preclude any State or political subdivision thereof from: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Adopting and enforcing any emission standard or limitation applicable to an affected facility, provided that such emission standard or limitation is not less stringent than the standard applicable to such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Requiring the owner or operator of an affected facility to obtain permits, licenses, or approvals prior to initiating construction, modification, or operation of such facility.</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1" w:name="40:7.0.1.1.1.1.151.11"/>
      <w:bookmarkEnd w:id="11"/>
      <w:r w:rsidRPr="001F70F0">
        <w:rPr>
          <w:rFonts w:ascii="Arial" w:eastAsia="Times New Roman" w:hAnsi="Arial" w:cs="Arial"/>
          <w:b/>
          <w:bCs/>
          <w:sz w:val="15"/>
          <w:szCs w:val="15"/>
        </w:rPr>
        <w:t>§ 60.11   Compliance with standards and maintenance requirements.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Compliance with standards in this part, other than opacity standards, shall be determined in accordance with performance tests established by § 60.8, unless otherwise specified in the applicable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The opacity standards set forth in this part shall apply at all times except during periods of startup, shutdown, malfunction, and as otherwise provided in the applicable standard.</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(e)(1) For the purpose of demonstrating initial compliance, opacity observations shall be conducted concurrently with the initial performance test required in § 60.8 unless one of the following conditions apply. If no performance test under §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 60.7(a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 xml:space="preserve">6) shall be waived. The rescheduled opacity observations shall be conducted (to the extent possible) under the same operating conditions that existed during the initial performance test conducted under §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1F70F0">
        <w:rPr>
          <w:rFonts w:ascii="Arial" w:eastAsia="Times New Roman" w:hAnsi="Arial" w:cs="Arial"/>
          <w:sz w:val="15"/>
          <w:szCs w:val="15"/>
        </w:rPr>
        <w:t>determing</w:t>
      </w:r>
      <w:proofErr w:type="spellEnd"/>
      <w:r w:rsidRPr="001F70F0">
        <w:rPr>
          <w:rFonts w:ascii="Arial" w:eastAsia="Times New Roman" w:hAnsi="Arial" w:cs="Arial"/>
          <w:sz w:val="15"/>
          <w:szCs w:val="15"/>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1F70F0">
        <w:rPr>
          <w:rFonts w:ascii="Arial" w:eastAsia="Times New Roman" w:hAnsi="Arial" w:cs="Arial"/>
          <w:sz w:val="15"/>
          <w:szCs w:val="15"/>
        </w:rPr>
        <w:t>transmissometer</w:t>
      </w:r>
      <w:proofErr w:type="spellEnd"/>
      <w:r w:rsidRPr="001F70F0">
        <w:rPr>
          <w:rFonts w:ascii="Arial" w:eastAsia="Times New Roman" w:hAnsi="Arial" w:cs="Arial"/>
          <w:sz w:val="15"/>
          <w:szCs w:val="15"/>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Except as provided in paragraph (e</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 60.8. The inability of an owner or operator to secure a visible emissions observer shall not be considered a reason for not conducting the opacity observations concurrent with the initial performance test.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 60.7(a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6). If, for some reason, the Administrator cannot determine and record the opacity of emissions from the affected facility during the performance test, then the provisions of paragraph (e)(1) of this section shall apply.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An owner or operator of an affected facility using a continuous opacity monitor (</w:t>
      </w:r>
      <w:proofErr w:type="spellStart"/>
      <w:r w:rsidRPr="001F70F0">
        <w:rPr>
          <w:rFonts w:ascii="Arial" w:eastAsia="Times New Roman" w:hAnsi="Arial" w:cs="Arial"/>
          <w:sz w:val="15"/>
          <w:szCs w:val="15"/>
        </w:rPr>
        <w:t>transmissometer</w:t>
      </w:r>
      <w:proofErr w:type="spellEnd"/>
      <w:r w:rsidRPr="001F70F0">
        <w:rPr>
          <w:rFonts w:ascii="Arial" w:eastAsia="Times New Roman" w:hAnsi="Arial" w:cs="Arial"/>
          <w:sz w:val="15"/>
          <w:szCs w:val="15"/>
        </w:rPr>
        <w:t>) shall record the monitoring data produced during the initial performance test required by § 60.8 and shall furnish the Administrator a written report of the monitoring results along with Method 9 and § 60.8 performance test results.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An owner or operator of an affected facility subject to an opacity standard may submit, for compliance purposes, continuous opacity monitoring system (COMS) data results produced during any performance test required under § 60.8 in lieu of Method 9 observation data. If an owner or operator elects to submit COMS data for compliance with the opacity standard, he shall notify the Administrator of that decision, in writing, at least 30 days before any performance test required under § 60.8 is conducted. Once the owner or operator of an affected facility has notified the Administrator to that effect, the COMS data results will be used to determine opacity compliance during subsequent tests required under § 60.8 until the owner or operator notifies the Administrator, in writing, to the contrary. For the purpose of determining compliance with the opacity standard during a performance test required under §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 60.8. The owner or operator of an affected facility using a COMS for compliance purposes is responsible for demonstrating that the COMS meets the requirements specified in §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Upon receipt from an owner or operator of the written reports of the results of the performance tests required by § 60.8, the opacity observation results and observer certification required by § 60.11(e</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 60.8. If the Administrator finds that an affected facility is in compliance with all applicable standards for which performance tests are conducted in accordance with §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1F70F0">
        <w:rPr>
          <w:rFonts w:ascii="Arial" w:eastAsia="Times New Roman" w:hAnsi="Arial" w:cs="Arial"/>
          <w:smallCaps/>
          <w:sz w:val="15"/>
          <w:szCs w:val="15"/>
        </w:rPr>
        <w:t>Federal Register.</w:t>
      </w:r>
      <w:r w:rsidRPr="001F70F0">
        <w:rPr>
          <w:rFonts w:ascii="Arial" w:eastAsia="Times New Roman" w:hAnsi="Arial" w:cs="Arial"/>
          <w:sz w:val="15"/>
          <w:szCs w:val="15"/>
        </w:rPr>
        <w:t xml:space="preserve"> </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Special provisions set forth under an applicable subpart shall supersede any conflicting provisions in paragraphs (a) through (e)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[38 FR 28565, Oct. 15, 1973, as amended at 39 FR 39873, Nov. 12, 1974; 43 FR 8800, Mar. 3, 1978; 45 FR 23379, Apr. 4, 1980; 48 FR 48335, Oct. 18, 1983; 50 FR 53113, Dec. 27, 1985; 51 FR 1790, Jan. 15, 1986; 52 FR 9781, Mar. 26, 1987; 62 FR 8328, Feb. 24, 1997; 65 FR 61749, Oct. 17, 2000]</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2" w:name="40:7.0.1.1.1.1.151.12"/>
      <w:bookmarkEnd w:id="12"/>
      <w:proofErr w:type="gramStart"/>
      <w:r w:rsidRPr="001F70F0">
        <w:rPr>
          <w:rFonts w:ascii="Arial" w:eastAsia="Times New Roman" w:hAnsi="Arial" w:cs="Arial"/>
          <w:b/>
          <w:bCs/>
          <w:sz w:val="15"/>
          <w:szCs w:val="15"/>
        </w:rPr>
        <w:t>§ 60.12   Circumvention.</w:t>
      </w:r>
      <w:proofErr w:type="gramEnd"/>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[39 FR 9314, Mar. 8, 1974]</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3" w:name="40:7.0.1.1.1.1.151.13"/>
      <w:bookmarkEnd w:id="13"/>
      <w:r w:rsidRPr="001F70F0">
        <w:rPr>
          <w:rFonts w:ascii="Arial" w:eastAsia="Times New Roman" w:hAnsi="Arial" w:cs="Arial"/>
          <w:b/>
          <w:bCs/>
          <w:sz w:val="15"/>
          <w:szCs w:val="15"/>
        </w:rPr>
        <w:t>§ 60.13   Monitoring requirements.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All continuous monitoring systems and monitoring devices shall be installed and operational prior to conducting performance tests under § 60.8. Verification of operational status shall, as a minimum, include completion of the manufacturer's written requirements or recommendations for installation, operation, and calibration of the device.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(c) If the owner or operator of an affected facility elects to submit </w:t>
      </w:r>
      <w:proofErr w:type="spellStart"/>
      <w:r w:rsidRPr="001F70F0">
        <w:rPr>
          <w:rFonts w:ascii="Arial" w:eastAsia="Times New Roman" w:hAnsi="Arial" w:cs="Arial"/>
          <w:sz w:val="15"/>
          <w:szCs w:val="15"/>
        </w:rPr>
        <w:t>continous</w:t>
      </w:r>
      <w:proofErr w:type="spellEnd"/>
      <w:r w:rsidRPr="001F70F0">
        <w:rPr>
          <w:rFonts w:ascii="Arial" w:eastAsia="Times New Roman" w:hAnsi="Arial" w:cs="Arial"/>
          <w:sz w:val="15"/>
          <w:szCs w:val="15"/>
        </w:rPr>
        <w:t xml:space="preserve"> opacity monitoring system (COMS) data for compliance with the opacity standard as provided under § 60.11(e)(5), he shall conduct a performance evaluation of the COMS as specified in Performance Specification 1, appendix B, of this part before the performance test required under § 60.8 is conducted. Otherwise, the owner or operator of an affected facility shall conduct a performance evaluation of the COMS or continuous emission monitoring system (CEMS) during any performance test required under §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owner or operator of an affected facility using a COMS to determine opacity compliance during any performance test required under § 60.8 and as described in § 60.11(e</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5) shall furnish the Administrator two or, upon request, more copies of a written report of the results of the COMS performance evaluation described in paragraph (c) of this section at least 10 days before the performance test required under § 60.8 is conducted.</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(d)(1) Owners and operators of a CEMS installed in accordance with the provisions of this </w:t>
      </w:r>
      <w:proofErr w:type="gramStart"/>
      <w:r w:rsidRPr="001F70F0">
        <w:rPr>
          <w:rFonts w:ascii="Arial" w:eastAsia="Times New Roman" w:hAnsi="Arial" w:cs="Arial"/>
          <w:sz w:val="15"/>
          <w:szCs w:val="15"/>
        </w:rPr>
        <w:t>part,</w:t>
      </w:r>
      <w:proofErr w:type="gramEnd"/>
      <w:r w:rsidRPr="001F70F0">
        <w:rPr>
          <w:rFonts w:ascii="Arial" w:eastAsia="Times New Roman" w:hAnsi="Arial" w:cs="Arial"/>
          <w:sz w:val="15"/>
          <w:szCs w:val="15"/>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Pr="001F70F0">
        <w:rPr>
          <w:rFonts w:ascii="Arial" w:eastAsia="Times New Roman" w:hAnsi="Arial" w:cs="Arial"/>
          <w:sz w:val="15"/>
          <w:szCs w:val="15"/>
        </w:rPr>
        <w:t>For a</w:t>
      </w:r>
      <w:proofErr w:type="gramEnd"/>
      <w:r w:rsidRPr="001F70F0">
        <w:rPr>
          <w:rFonts w:ascii="Arial" w:eastAsia="Times New Roman" w:hAnsi="Arial" w:cs="Arial"/>
          <w:sz w:val="15"/>
          <w:szCs w:val="15"/>
        </w:rPr>
        <w:t xml:space="preserve"> particular COMS, the acceptable range of zero and upscale calibration materials is as defined in the applicable version of PS-1 in appendix B of this part. </w:t>
      </w:r>
      <w:proofErr w:type="gramStart"/>
      <w:r w:rsidRPr="001F70F0">
        <w:rPr>
          <w:rFonts w:ascii="Arial" w:eastAsia="Times New Roman" w:hAnsi="Arial" w:cs="Arial"/>
          <w:sz w:val="15"/>
          <w:szCs w:val="15"/>
        </w:rPr>
        <w:t>For a</w:t>
      </w:r>
      <w:proofErr w:type="gramEnd"/>
      <w:r w:rsidRPr="001F70F0">
        <w:rPr>
          <w:rFonts w:ascii="Arial" w:eastAsia="Times New Roman" w:hAnsi="Arial" w:cs="Arial"/>
          <w:sz w:val="15"/>
          <w:szCs w:val="15"/>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w:t>
      </w:r>
      <w:proofErr w:type="spellStart"/>
      <w:r w:rsidRPr="001F70F0">
        <w:rPr>
          <w:rFonts w:ascii="Arial" w:eastAsia="Times New Roman" w:hAnsi="Arial" w:cs="Arial"/>
          <w:sz w:val="15"/>
          <w:szCs w:val="15"/>
        </w:rPr>
        <w:t>photodetector</w:t>
      </w:r>
      <w:proofErr w:type="spellEnd"/>
      <w:r w:rsidRPr="001F70F0">
        <w:rPr>
          <w:rFonts w:ascii="Arial" w:eastAsia="Times New Roman" w:hAnsi="Arial" w:cs="Arial"/>
          <w:sz w:val="15"/>
          <w:szCs w:val="15"/>
        </w:rPr>
        <w:t xml:space="preserve"> assembly, and electronic or electro-mechanical systems and hardware and or software used during normal measurement operation.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All continuous monitoring systems referenced by paragraph (c) of this section for measuring emissions, except opacity, shall complete a minimum of one cycle of operation (sampling, analyzing, and data recording) for each successive 15-minute period.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(h)(1) Owners or operators of all continuous monitoring systems for measurement of opacity shall reduce all data to 6-minute averages and for continuous monitoring systems other than opacity to 1-hour averages for time periods as defined in § 60.2. Six-minute opacity averages shall be calculated from 36 or more data points equally spaced over each 6-minute period.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xml:space="preserve">) Except as provided under paragraph (h)(2)(iii) of this section, for a full operating hour (any clock hour with 60 minutes of unit operation), at least four valid data points are required to calculate the hourly average, </w:t>
      </w:r>
      <w:r w:rsidRPr="001F70F0">
        <w:rPr>
          <w:rFonts w:ascii="Arial" w:eastAsia="Times New Roman" w:hAnsi="Arial" w:cs="Arial"/>
          <w:i/>
          <w:iCs/>
          <w:sz w:val="15"/>
          <w:szCs w:val="15"/>
        </w:rPr>
        <w:t>i.e.</w:t>
      </w:r>
      <w:r w:rsidRPr="001F70F0">
        <w:rPr>
          <w:rFonts w:ascii="Arial" w:eastAsia="Times New Roman" w:hAnsi="Arial" w:cs="Arial"/>
          <w:sz w:val="15"/>
          <w:szCs w:val="15"/>
        </w:rPr>
        <w:t xml:space="preserve"> , one data point in each of the 15-minute quadrants of the hour.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For any operating hour in which required maintenance or quality-assurance activities are performed:</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If the unit operates in two or more quadrants of the hour, a minimum of two valid data points, separated by at least 15 minutes, is required to calculate the hourly average; 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If the unit operates in only one quadrant of the hour, at least one valid data point is required to calculate the hourly average.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For each full or partial operating hour, all valid data points shall be used to calculate the hourly average.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 Owners and operators complying with the requirements of § 60.7(f</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 or (2) must include any data recorded during periods of monitor breakdown or malfunction in the data averages.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(viii) When specified in an applicable subpart, hourly averages for certain partial operating hours shall not be computed or included in the emission averages ( </w:t>
      </w:r>
      <w:r w:rsidRPr="001F70F0">
        <w:rPr>
          <w:rFonts w:ascii="Arial" w:eastAsia="Times New Roman" w:hAnsi="Arial" w:cs="Arial"/>
          <w:i/>
          <w:iCs/>
          <w:sz w:val="15"/>
          <w:szCs w:val="15"/>
        </w:rPr>
        <w:t>e.g.</w:t>
      </w:r>
      <w:r w:rsidRPr="001F70F0">
        <w:rPr>
          <w:rFonts w:ascii="Arial" w:eastAsia="Times New Roman" w:hAnsi="Arial" w:cs="Arial"/>
          <w:sz w:val="15"/>
          <w:szCs w:val="15"/>
        </w:rPr>
        <w:t xml:space="preserve"> hours with &lt; 30 minutes of unit operation under § 60.47b(d)).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(ix) Either arithmetic or integrated averaging of all data may be used to calculate the hourly averages. The data may be recorded in reduced or </w:t>
      </w:r>
      <w:proofErr w:type="spellStart"/>
      <w:r w:rsidRPr="001F70F0">
        <w:rPr>
          <w:rFonts w:ascii="Arial" w:eastAsia="Times New Roman" w:hAnsi="Arial" w:cs="Arial"/>
          <w:sz w:val="15"/>
          <w:szCs w:val="15"/>
        </w:rPr>
        <w:t>nonreduced</w:t>
      </w:r>
      <w:proofErr w:type="spellEnd"/>
      <w:r w:rsidRPr="001F70F0">
        <w:rPr>
          <w:rFonts w:ascii="Arial" w:eastAsia="Times New Roman" w:hAnsi="Arial" w:cs="Arial"/>
          <w:sz w:val="15"/>
          <w:szCs w:val="15"/>
        </w:rPr>
        <w:t xml:space="preserve"> form </w:t>
      </w:r>
      <w:proofErr w:type="gramStart"/>
      <w:r w:rsidRPr="001F70F0">
        <w:rPr>
          <w:rFonts w:ascii="Arial" w:eastAsia="Times New Roman" w:hAnsi="Arial" w:cs="Arial"/>
          <w:sz w:val="15"/>
          <w:szCs w:val="15"/>
        </w:rPr>
        <w:t xml:space="preserve">( </w:t>
      </w:r>
      <w:r w:rsidRPr="001F70F0">
        <w:rPr>
          <w:rFonts w:ascii="Arial" w:eastAsia="Times New Roman" w:hAnsi="Arial" w:cs="Arial"/>
          <w:i/>
          <w:iCs/>
          <w:sz w:val="15"/>
          <w:szCs w:val="15"/>
        </w:rPr>
        <w:t>e.g</w:t>
      </w:r>
      <w:proofErr w:type="gramEnd"/>
      <w:r w:rsidRPr="001F70F0">
        <w:rPr>
          <w:rFonts w:ascii="Arial" w:eastAsia="Times New Roman" w:hAnsi="Arial" w:cs="Arial"/>
          <w:i/>
          <w:iCs/>
          <w:sz w:val="15"/>
          <w:szCs w:val="15"/>
        </w:rPr>
        <w:t>.</w:t>
      </w:r>
      <w:r w:rsidRPr="001F70F0">
        <w:rPr>
          <w:rFonts w:ascii="Arial" w:eastAsia="Times New Roman" w:hAnsi="Arial" w:cs="Arial"/>
          <w:sz w:val="15"/>
          <w:szCs w:val="15"/>
        </w:rPr>
        <w:t xml:space="preserve"> , ppm pollutant and percent O</w:t>
      </w:r>
      <w:r w:rsidRPr="001F70F0">
        <w:rPr>
          <w:rFonts w:ascii="Arial" w:eastAsia="Times New Roman" w:hAnsi="Arial" w:cs="Arial"/>
          <w:sz w:val="11"/>
          <w:szCs w:val="11"/>
          <w:vertAlign w:val="subscript"/>
        </w:rPr>
        <w:t>2</w:t>
      </w:r>
      <w:r w:rsidRPr="001F70F0">
        <w:rPr>
          <w:rFonts w:ascii="Arial" w:eastAsia="Times New Roman" w:hAnsi="Arial" w:cs="Arial"/>
          <w:sz w:val="15"/>
          <w:szCs w:val="15"/>
        </w:rPr>
        <w:t xml:space="preserve"> or </w:t>
      </w:r>
      <w:proofErr w:type="spellStart"/>
      <w:r w:rsidRPr="001F70F0">
        <w:rPr>
          <w:rFonts w:ascii="Arial" w:eastAsia="Times New Roman" w:hAnsi="Arial" w:cs="Arial"/>
          <w:sz w:val="15"/>
          <w:szCs w:val="15"/>
        </w:rPr>
        <w:t>ng</w:t>
      </w:r>
      <w:proofErr w:type="spellEnd"/>
      <w:r w:rsidRPr="001F70F0">
        <w:rPr>
          <w:rFonts w:ascii="Arial" w:eastAsia="Times New Roman" w:hAnsi="Arial" w:cs="Arial"/>
          <w:sz w:val="15"/>
          <w:szCs w:val="15"/>
        </w:rPr>
        <w:t>/J of pollutant).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After receipt and consideration of written application, the Administrator may approve alternatives to any monitoring procedures or requirements of this part including, but not limited to the following:</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Alternative monitoring requirements when the affected facility is infrequently operated.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Alternative monitoring requirements to accommodate continuous monitoring systems that require additional measurements to correct for stack moisture conditions.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Alternative locations for installing continuous monitoring systems or monitoring devices when the owner or operator can demonstrate that installation at alternate locations will enable accurate and representative measurements.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Alternative methods of converting pollutant concentration measurements to units of the standards.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Alternative procedures for performing daily checks of zero and span drift that do not involve use of span gases or test cells.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Alternatives to the A.S.T.M. test methods or sampling procedures specified by any subpart.</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w:t>
      </w:r>
      <w:proofErr w:type="gramEnd"/>
      <w:r w:rsidRPr="001F70F0">
        <w:rPr>
          <w:rFonts w:ascii="Arial" w:eastAsia="Times New Roman" w:hAnsi="Arial" w:cs="Arial"/>
          <w:sz w:val="15"/>
          <w:szCs w:val="15"/>
        </w:rPr>
        <w:t xml:space="preserve"> The Administrator may require that such demonstration be performed for each affected facility.</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 Alternative monitoring requirements when the effluent from a single affected facility or the combined effluent from two or more affected facilities is released to the atmosphere through more than one point.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(j) An alternative to the relative accuracy (RA) test specified in Performance Specification 2 of appendix B may be requested as follows: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 60.8 of this subpart or other tests performed following the criteria in §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 60.45(g) (2) and (3), § 60.73(e), and §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1F70F0" w:rsidRPr="001F70F0" w:rsidRDefault="001F70F0" w:rsidP="00335A5D">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Editorial Note:</w:t>
      </w:r>
      <w:r w:rsidRPr="001F70F0">
        <w:rPr>
          <w:rFonts w:ascii="Arial" w:eastAsia="Times New Roman" w:hAnsi="Arial" w:cs="Arial"/>
          <w:sz w:val="14"/>
          <w:szCs w:val="14"/>
        </w:rPr>
        <w:t xml:space="preserve"> At 65 FR 61749, Oct. 17, 2000, § 60.13 was amended by revising the words “</w:t>
      </w:r>
      <w:proofErr w:type="spellStart"/>
      <w:r w:rsidRPr="001F70F0">
        <w:rPr>
          <w:rFonts w:ascii="Arial" w:eastAsia="Times New Roman" w:hAnsi="Arial" w:cs="Arial"/>
          <w:sz w:val="14"/>
          <w:szCs w:val="14"/>
        </w:rPr>
        <w:t>ng</w:t>
      </w:r>
      <w:proofErr w:type="spellEnd"/>
      <w:r w:rsidRPr="001F70F0">
        <w:rPr>
          <w:rFonts w:ascii="Arial" w:eastAsia="Times New Roman" w:hAnsi="Arial" w:cs="Arial"/>
          <w:sz w:val="14"/>
          <w:szCs w:val="14"/>
        </w:rPr>
        <w:t>/J of pollutant” to read “</w:t>
      </w:r>
      <w:proofErr w:type="spellStart"/>
      <w:r w:rsidRPr="001F70F0">
        <w:rPr>
          <w:rFonts w:ascii="Arial" w:eastAsia="Times New Roman" w:hAnsi="Arial" w:cs="Arial"/>
          <w:sz w:val="14"/>
          <w:szCs w:val="14"/>
        </w:rPr>
        <w:t>ng</w:t>
      </w:r>
      <w:proofErr w:type="spellEnd"/>
      <w:r w:rsidRPr="001F70F0">
        <w:rPr>
          <w:rFonts w:ascii="Arial" w:eastAsia="Times New Roman" w:hAnsi="Arial" w:cs="Arial"/>
          <w:sz w:val="14"/>
          <w:szCs w:val="14"/>
        </w:rPr>
        <w:t xml:space="preserve"> of pollutant per J of heat input” in the sixth sentence of paragraph (h). However, the amendment could not be incorporated because the words “</w:t>
      </w:r>
      <w:proofErr w:type="spellStart"/>
      <w:r w:rsidRPr="001F70F0">
        <w:rPr>
          <w:rFonts w:ascii="Arial" w:eastAsia="Times New Roman" w:hAnsi="Arial" w:cs="Arial"/>
          <w:sz w:val="14"/>
          <w:szCs w:val="14"/>
        </w:rPr>
        <w:t>ng</w:t>
      </w:r>
      <w:proofErr w:type="spellEnd"/>
      <w:r w:rsidRPr="001F70F0">
        <w:rPr>
          <w:rFonts w:ascii="Arial" w:eastAsia="Times New Roman" w:hAnsi="Arial" w:cs="Arial"/>
          <w:sz w:val="14"/>
          <w:szCs w:val="14"/>
        </w:rPr>
        <w:t xml:space="preserve">/J of pollutant” </w:t>
      </w:r>
      <w:proofErr w:type="gramStart"/>
      <w:r w:rsidRPr="001F70F0">
        <w:rPr>
          <w:rFonts w:ascii="Arial" w:eastAsia="Times New Roman" w:hAnsi="Arial" w:cs="Arial"/>
          <w:sz w:val="14"/>
          <w:szCs w:val="14"/>
        </w:rPr>
        <w:t>do</w:t>
      </w:r>
      <w:proofErr w:type="gramEnd"/>
      <w:r w:rsidRPr="001F70F0">
        <w:rPr>
          <w:rFonts w:ascii="Arial" w:eastAsia="Times New Roman" w:hAnsi="Arial" w:cs="Arial"/>
          <w:sz w:val="14"/>
          <w:szCs w:val="14"/>
        </w:rPr>
        <w:t xml:space="preserve"> not exist in the sixth sentence of paragraph (h). </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4" w:name="40:7.0.1.1.1.1.151.14"/>
      <w:bookmarkEnd w:id="14"/>
      <w:proofErr w:type="gramStart"/>
      <w:r w:rsidRPr="001F70F0">
        <w:rPr>
          <w:rFonts w:ascii="Arial" w:eastAsia="Times New Roman" w:hAnsi="Arial" w:cs="Arial"/>
          <w:b/>
          <w:bCs/>
          <w:sz w:val="15"/>
          <w:szCs w:val="15"/>
        </w:rPr>
        <w:t>§ 60.14   Modification</w:t>
      </w:r>
      <w:proofErr w:type="gramEnd"/>
      <w:r w:rsidRPr="001F70F0">
        <w:rPr>
          <w:rFonts w:ascii="Arial" w:eastAsia="Times New Roman" w:hAnsi="Arial" w:cs="Arial"/>
          <w:b/>
          <w:bCs/>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Emission rate shall be expressed as kg/hr of any pollutant discharged into the atmosphere for which a standard is applicable. The Administrator shall use the following to determine emission rate:</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 Emission factors as specified in the latest issue of “Compilation of Air Pollutant Emission Factors,” EPA Publication No. </w:t>
      </w:r>
      <w:proofErr w:type="gramStart"/>
      <w:r w:rsidRPr="001F70F0">
        <w:rPr>
          <w:rFonts w:ascii="Arial" w:eastAsia="Times New Roman" w:hAnsi="Arial" w:cs="Arial"/>
          <w:sz w:val="15"/>
          <w:szCs w:val="15"/>
        </w:rPr>
        <w:t>AP-42,</w:t>
      </w:r>
      <w:proofErr w:type="gramEnd"/>
      <w:r w:rsidRPr="001F70F0">
        <w:rPr>
          <w:rFonts w:ascii="Arial" w:eastAsia="Times New Roman" w:hAnsi="Arial" w:cs="Arial"/>
          <w:sz w:val="15"/>
          <w:szCs w:val="15"/>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The addition of an affected facility to a stationary source as an expansion to that source or as a replacement for an existing facility shall not by itself bring within the applicability of this part any other facility within that source.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The following shall not, by themselves, be considered modifications under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Maintenance, repair, and replacement which the Administrator determines to be routine for a source category, subject to the provisions of paragraph (c) of this section and § 60.15.</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An increase in production rate of an existing facility, if that increase can be accomplished without a capital expenditure on that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An increase in the hours of operation.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Use of an alternative fuel or raw material if, prior to the date any standard under this part becomes applicable to that source type, as provided by §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8) of the Act, shall not be considered a modification.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The relocation or change in ownership of an existing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Special provisions set forth under an applicable subpart of this part shall supersede any conflicting provisions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Within 180 days of the completion of any physical or operational change subject to the control measures specified in paragraph (a) of this section, compliance with all applicable standards must be achieved.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This exemption shall not apply to any new unit that:</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Is designated as a replacement for an existing unit;</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Qualifies under section 409(b) of the Clean Air Act for an extension of an emission limitation compliance date under section 405 of the Clean Air Act; and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gramStart"/>
      <w:r w:rsidRPr="001F70F0">
        <w:rPr>
          <w:rFonts w:ascii="Arial" w:eastAsia="Times New Roman" w:hAnsi="Arial" w:cs="Arial"/>
          <w:sz w:val="15"/>
          <w:szCs w:val="15"/>
        </w:rPr>
        <w:t>iii</w:t>
      </w:r>
      <w:proofErr w:type="gramEnd"/>
      <w:r w:rsidRPr="001F70F0">
        <w:rPr>
          <w:rFonts w:ascii="Arial" w:eastAsia="Times New Roman" w:hAnsi="Arial" w:cs="Arial"/>
          <w:sz w:val="15"/>
          <w:szCs w:val="15"/>
        </w:rPr>
        <w:t>) Is located at a different site than the existing unit.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(k) The installation, operation, cessation, or removal of a temporary clean coal technology demonstration project is exempt from the requirements of this section. A </w:t>
      </w:r>
      <w:r w:rsidRPr="001F70F0">
        <w:rPr>
          <w:rFonts w:ascii="Arial" w:eastAsia="Times New Roman" w:hAnsi="Arial" w:cs="Arial"/>
          <w:i/>
          <w:iCs/>
          <w:sz w:val="15"/>
          <w:szCs w:val="15"/>
        </w:rPr>
        <w:t>temporary clean coal control technology demonstration project,</w:t>
      </w:r>
      <w:r w:rsidRPr="001F70F0">
        <w:rPr>
          <w:rFonts w:ascii="Arial" w:eastAsia="Times New Roman" w:hAnsi="Arial" w:cs="Arial"/>
          <w:sz w:val="15"/>
          <w:szCs w:val="15"/>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(l) The reactivation of a very clean coal-fired electric utility steam generating unit is exempt from the requirements of this section.</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58419, Dec. 16, 1975, as amended at 43 FR 34347, Aug. 3, 1978; 45 FR 5617, Jan. 23, 1980; 57 FR 32339, July 21, 1992; 65 FR 61750, Oct. 17, 2000]</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5" w:name="40:7.0.1.1.1.1.151.15"/>
      <w:bookmarkEnd w:id="15"/>
      <w:r w:rsidRPr="001F70F0">
        <w:rPr>
          <w:rFonts w:ascii="Arial" w:eastAsia="Times New Roman" w:hAnsi="Arial" w:cs="Arial"/>
          <w:b/>
          <w:bCs/>
          <w:sz w:val="15"/>
          <w:szCs w:val="15"/>
        </w:rPr>
        <w:t>§ 60.15   Reconstruction.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An existing facility, upon reconstruction, becomes an affected facility, irrespective of any change in emission rate.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“Reconstruction” means the replacement of components of an existing facility to such an extent that: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fixed capital cost of the new components exceeds 50 percent of the fixed capital cost that would be required to construct a comparable entirely new facility, and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It is technologically and economically feasible to meet the applicable standards set forth in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“Fixed capital cost” means the capital needed to provide all the depreciable components.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Name and address of the owner or operator.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location of the existing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 brief description of the existing facility and the components which are to be replaced.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 description of the existing air pollution control equipment and the proposed air pollution control equipment.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An estimate of the fixed capital cost of the replacements and of constructing a comparable entirely new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The estimated life of the existing facility after the replacements.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A discussion of any economic or technical limitations the facility may have in complying with the applicable standards of performance after the proposed replacements.</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The Administrator will determine, within 30 days of the receipt of the notice required by paragraph (d) of this section and any additional information he may reasonably require, whether the proposed replacement constitutes reconstruction.</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The Administrator's determination under paragraph (e) shall be based 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fixed capital cost of the replacements in comparison to the fixed capital cost that would be required to construct a comparable entirely new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estimated life of the facility after the replacements compared to the life of a comparable entirely new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extent to which the components being replaced cause or contribute to the emissions from the facility; and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Any economic or technical limitations on compliance with applicable standards of performance which are inherent in the proposed replacements.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Individual subparts of this part may include specific provisions which refine and delimit the concept of reconstruction set forth in this section.</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58420, Dec. 16, 1975]</w:t>
      </w:r>
    </w:p>
    <w:p w:rsidR="001F70F0" w:rsidRPr="001F70F0" w:rsidRDefault="001F70F0" w:rsidP="001F70F0">
      <w:pPr>
        <w:spacing w:before="200" w:after="100" w:line="240" w:lineRule="auto"/>
        <w:outlineLvl w:val="1"/>
        <w:rPr>
          <w:rFonts w:ascii="Arial" w:eastAsia="Times New Roman" w:hAnsi="Arial" w:cs="Arial"/>
          <w:b/>
          <w:bCs/>
          <w:sz w:val="15"/>
          <w:szCs w:val="15"/>
        </w:rPr>
      </w:pPr>
      <w:bookmarkStart w:id="16" w:name="40:7.0.1.1.1.1.151.16"/>
      <w:bookmarkEnd w:id="16"/>
      <w:r w:rsidRPr="001F70F0">
        <w:rPr>
          <w:rFonts w:ascii="Arial" w:eastAsia="Times New Roman" w:hAnsi="Arial" w:cs="Arial"/>
          <w:b/>
          <w:bCs/>
          <w:sz w:val="15"/>
          <w:szCs w:val="15"/>
        </w:rPr>
        <w:t>§ 60.16   Priority list.</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218"/>
        <w:gridCol w:w="8172"/>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i/>
                <w:iCs/>
                <w:sz w:val="15"/>
              </w:rPr>
              <w:t>Priority Number</w:t>
            </w:r>
            <w:r w:rsidRPr="001F70F0">
              <w:rPr>
                <w:rFonts w:ascii="Arial" w:eastAsia="Times New Roman" w:hAnsi="Arial" w:cs="Arial"/>
                <w:b/>
                <w:bCs/>
                <w:sz w:val="15"/>
                <w:szCs w:val="15"/>
              </w:rPr>
              <w:t> </w:t>
            </w:r>
            <w:r w:rsidRPr="001F70F0">
              <w:rPr>
                <w:rFonts w:ascii="Arial" w:eastAsia="Times New Roman" w:hAnsi="Arial" w:cs="Arial"/>
                <w:b/>
                <w:bCs/>
                <w:sz w:val="15"/>
                <w:szCs w:val="15"/>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i/>
                <w:iCs/>
                <w:sz w:val="15"/>
              </w:rPr>
              <w:t>Source Category</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Organic Chemical Manufacturing Industry (SOCMI) and Volatile Organic Liquid Storage Vessels and Handling Equipment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 SOCMI unit processes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 Volatile organic liquid (VOL) storage vessels and handling equipment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 SOCMI fugitive sources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 SOCMI secondary sources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Cans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Fugitive Sources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Paper</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Dry Cleaning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xml:space="preserve">(a) </w:t>
            </w:r>
            <w:proofErr w:type="spellStart"/>
            <w:r w:rsidRPr="001F70F0">
              <w:rPr>
                <w:rFonts w:ascii="Arial" w:eastAsia="Times New Roman" w:hAnsi="Arial" w:cs="Arial"/>
                <w:sz w:val="15"/>
                <w:szCs w:val="15"/>
              </w:rPr>
              <w:t>Perchloroethylene</w:t>
            </w:r>
            <w:proofErr w:type="spellEnd"/>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 Petroleum solvent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Acrylic Resins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Mineral Wool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Internal Combustion Engines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Fabric</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Incineration: Non-Municipal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Copper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Preparation</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Foundries: Steel and Gray Iron</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Polyethylene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Charcoal Production</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Rubber</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 Tire manufacture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 SBR production</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Vegetable Oil</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Metal Coil</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Transportation and Marketing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By-Product Coke Ovens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Plywood Manufacture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Automobiles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Aluminum</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Potash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Lightweight Aggregate Industry: Clay, Shale, and Slate </w:t>
            </w:r>
            <w:r w:rsidRPr="001F70F0">
              <w:rPr>
                <w:rFonts w:ascii="Arial" w:eastAsia="Times New Roman" w:hAnsi="Arial" w:cs="Arial"/>
                <w:sz w:val="15"/>
                <w:szCs w:val="15"/>
                <w:vertAlign w:val="superscript"/>
              </w:rPr>
              <w:t>2</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Gypsum</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Sodium Carbonate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Zinc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xml:space="preserve">Polymers and Resins: </w:t>
            </w:r>
            <w:proofErr w:type="spellStart"/>
            <w:r w:rsidRPr="001F70F0">
              <w:rPr>
                <w:rFonts w:ascii="Arial" w:eastAsia="Times New Roman" w:hAnsi="Arial" w:cs="Arial"/>
                <w:sz w:val="15"/>
                <w:szCs w:val="15"/>
              </w:rPr>
              <w:t>Phenolic</w:t>
            </w:r>
            <w:proofErr w:type="spellEnd"/>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Urea-Melamine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Ammonia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Polystyrene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ABS-SAN Resins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Fiberglass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Polypropylene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Textile Processing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Brick and Related Clay Products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Ceramic Clay Manufacturing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Nitrate Fertilizer</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Castable</w:t>
            </w:r>
            <w:proofErr w:type="spellEnd"/>
            <w:r w:rsidRPr="001F70F0">
              <w:rPr>
                <w:rFonts w:ascii="Arial" w:eastAsia="Times New Roman" w:hAnsi="Arial" w:cs="Arial"/>
                <w:sz w:val="15"/>
                <w:szCs w:val="15"/>
              </w:rPr>
              <w:t xml:space="preserve"> </w:t>
            </w:r>
            <w:proofErr w:type="spellStart"/>
            <w:r w:rsidRPr="001F70F0">
              <w:rPr>
                <w:rFonts w:ascii="Arial" w:eastAsia="Times New Roman" w:hAnsi="Arial" w:cs="Arial"/>
                <w:sz w:val="15"/>
                <w:szCs w:val="15"/>
              </w:rPr>
              <w:t>Refractories</w:t>
            </w:r>
            <w:proofErr w:type="spellEnd"/>
            <w:r w:rsidRPr="001F70F0">
              <w:rPr>
                <w:rFonts w:ascii="Arial" w:eastAsia="Times New Roman" w:hAnsi="Arial" w:cs="Arial"/>
                <w:sz w:val="15"/>
                <w:szCs w:val="15"/>
              </w:rPr>
              <w:t xml:space="preserve">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Borax and Boric Acid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Polyester Resins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Starch</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roofErr w:type="spellStart"/>
            <w:r w:rsidRPr="001F70F0">
              <w:rPr>
                <w:rFonts w:ascii="Arial" w:eastAsia="Times New Roman" w:hAnsi="Arial" w:cs="Arial"/>
                <w:sz w:val="15"/>
                <w:szCs w:val="15"/>
              </w:rPr>
              <w:t>Perlite</w:t>
            </w:r>
            <w:proofErr w:type="spellEnd"/>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Phosphoric Acid: Thermal Process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Uranium Refining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xml:space="preserve">Animal Feed </w:t>
            </w:r>
            <w:proofErr w:type="spellStart"/>
            <w:r w:rsidRPr="001F70F0">
              <w:rPr>
                <w:rFonts w:ascii="Arial" w:eastAsia="Times New Roman" w:hAnsi="Arial" w:cs="Arial"/>
                <w:sz w:val="15"/>
                <w:szCs w:val="15"/>
              </w:rPr>
              <w:t>Defluorination</w:t>
            </w:r>
            <w:proofErr w:type="spellEnd"/>
            <w:r w:rsidRPr="001F70F0">
              <w:rPr>
                <w:rFonts w:ascii="Arial" w:eastAsia="Times New Roman" w:hAnsi="Arial" w:cs="Arial"/>
                <w:sz w:val="15"/>
                <w:szCs w:val="15"/>
              </w:rPr>
              <w:t xml:space="preserve">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Urea (for fertilizer and polymers)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Detergent (Deleted)</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i/>
                <w:iCs/>
                <w:sz w:val="15"/>
              </w:rPr>
              <w:t>Other Source Categories</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 acid battery manufacture </w:t>
            </w:r>
            <w:r w:rsidRPr="001F70F0">
              <w:rPr>
                <w:rFonts w:ascii="Arial" w:eastAsia="Times New Roman" w:hAnsi="Arial" w:cs="Arial"/>
                <w:sz w:val="15"/>
                <w:szCs w:val="15"/>
                <w:vertAlign w:val="superscript"/>
              </w:rPr>
              <w:t>3</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Organic solvent cleaning </w:t>
            </w:r>
            <w:r w:rsidRPr="001F70F0">
              <w:rPr>
                <w:rFonts w:ascii="Arial" w:eastAsia="Times New Roman" w:hAnsi="Arial" w:cs="Arial"/>
                <w:sz w:val="15"/>
                <w:szCs w:val="15"/>
                <w:vertAlign w:val="superscript"/>
              </w:rPr>
              <w:t>3</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metal furniture </w:t>
            </w:r>
            <w:r w:rsidRPr="001F70F0">
              <w:rPr>
                <w:rFonts w:ascii="Arial" w:eastAsia="Times New Roman" w:hAnsi="Arial" w:cs="Arial"/>
                <w:sz w:val="15"/>
                <w:szCs w:val="15"/>
                <w:vertAlign w:val="superscript"/>
              </w:rPr>
              <w:t>3</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 </w:t>
            </w:r>
            <w:r w:rsidRPr="001F70F0">
              <w:rPr>
                <w:rFonts w:ascii="Arial" w:eastAsia="Times New Roman" w:hAnsi="Arial" w:cs="Arial"/>
                <w:sz w:val="15"/>
                <w:szCs w:val="15"/>
                <w:vertAlign w:val="superscript"/>
              </w:rPr>
              <w:t>4</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 </w:t>
            </w:r>
            <w:r w:rsidRPr="001F70F0">
              <w:rPr>
                <w:rFonts w:ascii="Arial" w:eastAsia="Times New Roman" w:hAnsi="Arial" w:cs="Arial"/>
                <w:sz w:val="15"/>
                <w:szCs w:val="15"/>
                <w:vertAlign w:val="superscript"/>
              </w:rPr>
              <w:t>4</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bl>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1</w:t>
      </w:r>
      <w:r w:rsidRPr="001F70F0">
        <w:rPr>
          <w:rFonts w:ascii="Arial" w:eastAsia="Times New Roman" w:hAnsi="Arial" w:cs="Arial"/>
          <w:sz w:val="15"/>
          <w:szCs w:val="15"/>
        </w:rPr>
        <w:t xml:space="preserve"> Low </w:t>
      </w:r>
      <w:proofErr w:type="gramStart"/>
      <w:r w:rsidRPr="001F70F0">
        <w:rPr>
          <w:rFonts w:ascii="Arial" w:eastAsia="Times New Roman" w:hAnsi="Arial" w:cs="Arial"/>
          <w:sz w:val="15"/>
          <w:szCs w:val="15"/>
        </w:rPr>
        <w:t>numbers</w:t>
      </w:r>
      <w:proofErr w:type="gramEnd"/>
      <w:r w:rsidRPr="001F70F0">
        <w:rPr>
          <w:rFonts w:ascii="Arial" w:eastAsia="Times New Roman" w:hAnsi="Arial" w:cs="Arial"/>
          <w:sz w:val="15"/>
          <w:szCs w:val="15"/>
        </w:rPr>
        <w:t xml:space="preserve"> have highest priority, e.g., No. 1 is high priority, No. 59 is low priority.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2</w:t>
      </w:r>
      <w:r w:rsidRPr="001F70F0">
        <w:rPr>
          <w:rFonts w:ascii="Arial" w:eastAsia="Times New Roman" w:hAnsi="Arial" w:cs="Arial"/>
          <w:sz w:val="15"/>
          <w:szCs w:val="15"/>
        </w:rPr>
        <w:t> Formerly titled “Sintering: Clay and Fly Ash”.</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3</w:t>
      </w:r>
      <w:r w:rsidRPr="001F70F0">
        <w:rPr>
          <w:rFonts w:ascii="Arial" w:eastAsia="Times New Roman" w:hAnsi="Arial" w:cs="Arial"/>
          <w:sz w:val="15"/>
          <w:szCs w:val="15"/>
        </w:rPr>
        <w:t> Minor source category, but included on list since an NSPS is being developed for that source category.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4</w:t>
      </w:r>
      <w:r w:rsidRPr="001F70F0">
        <w:rPr>
          <w:rFonts w:ascii="Arial" w:eastAsia="Times New Roman" w:hAnsi="Arial" w:cs="Arial"/>
          <w:sz w:val="15"/>
          <w:szCs w:val="15"/>
        </w:rPr>
        <w:t> Not prioritized, since an NSPS for this major source category has already been promulgated.</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[47 FR 951, Jan. 8, 1982, as amended at 47 FR 31876, July 23, 1982; 51 FR 42796, Nov. 25, 1986; 52 FR 11428, Apr. 8, 1987; 61 FR 9919, Mar. 12, 1996]</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7" w:name="40:7.0.1.1.1.1.151.17"/>
      <w:bookmarkEnd w:id="17"/>
      <w:r w:rsidRPr="001F70F0">
        <w:rPr>
          <w:rFonts w:ascii="Arial" w:eastAsia="Times New Roman" w:hAnsi="Arial" w:cs="Arial"/>
          <w:b/>
          <w:bCs/>
          <w:sz w:val="15"/>
          <w:szCs w:val="15"/>
        </w:rPr>
        <w:t>§ 60.17   Incorporations by reference.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1F70F0">
        <w:rPr>
          <w:rFonts w:ascii="Arial" w:eastAsia="Times New Roman" w:hAnsi="Arial" w:cs="Arial"/>
          <w:smallCaps/>
          <w:sz w:val="15"/>
          <w:szCs w:val="15"/>
        </w:rPr>
        <w:t>Federal Register.</w:t>
      </w:r>
      <w:r w:rsidRPr="001F70F0">
        <w:rPr>
          <w:rFonts w:ascii="Arial" w:eastAsia="Times New Roman" w:hAnsi="Arial" w:cs="Arial"/>
          <w:sz w:val="15"/>
          <w:szCs w:val="15"/>
        </w:rPr>
        <w:t xml:space="preserve"> The materials are available for purchase at the corresponding address noted below, and all are available for inspection at the Library (C267-01), U.S. EPA, </w:t>
      </w:r>
      <w:proofErr w:type="gramStart"/>
      <w:r w:rsidRPr="001F70F0">
        <w:rPr>
          <w:rFonts w:ascii="Arial" w:eastAsia="Times New Roman" w:hAnsi="Arial" w:cs="Arial"/>
          <w:sz w:val="15"/>
          <w:szCs w:val="15"/>
        </w:rPr>
        <w:t>Research</w:t>
      </w:r>
      <w:proofErr w:type="gramEnd"/>
      <w:r w:rsidRPr="001F70F0">
        <w:rPr>
          <w:rFonts w:ascii="Arial" w:eastAsia="Times New Roman" w:hAnsi="Arial" w:cs="Arial"/>
          <w:sz w:val="15"/>
          <w:szCs w:val="15"/>
        </w:rPr>
        <w:t xml:space="preserve"> Triangle Park, NC or at the National Archives and Records Administration (NARA). For information on the availability of this material at NARA, call 202-741-6030, or go to: </w:t>
      </w:r>
      <w:r w:rsidRPr="001F70F0">
        <w:rPr>
          <w:rFonts w:ascii="Arial" w:eastAsia="Times New Roman" w:hAnsi="Arial" w:cs="Arial"/>
          <w:i/>
          <w:iCs/>
          <w:sz w:val="15"/>
          <w:szCs w:val="15"/>
        </w:rPr>
        <w:t>http://www.archives.gov/federal_register/code_of_federal_regulations/ibr_locations.html.</w:t>
      </w:r>
      <w:r w:rsidRPr="001F70F0">
        <w:rPr>
          <w:rFonts w:ascii="Arial" w:eastAsia="Times New Roman" w:hAnsi="Arial" w:cs="Arial"/>
          <w:sz w:val="15"/>
          <w:szCs w:val="15"/>
        </w:rPr>
        <w:t xml:space="preserve"> </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1F70F0">
        <w:rPr>
          <w:rFonts w:ascii="Arial" w:eastAsia="Times New Roman" w:hAnsi="Arial" w:cs="Arial"/>
          <w:i/>
          <w:iCs/>
          <w:sz w:val="15"/>
          <w:szCs w:val="15"/>
        </w:rPr>
        <w:t>http://www.astm.org;</w:t>
      </w:r>
      <w:r w:rsidRPr="001F70F0">
        <w:rPr>
          <w:rFonts w:ascii="Arial" w:eastAsia="Times New Roman" w:hAnsi="Arial" w:cs="Arial"/>
          <w:sz w:val="15"/>
          <w:szCs w:val="15"/>
        </w:rPr>
        <w:t xml:space="preserve"> or </w:t>
      </w:r>
      <w:proofErr w:type="spellStart"/>
      <w:r w:rsidRPr="001F70F0">
        <w:rPr>
          <w:rFonts w:ascii="Arial" w:eastAsia="Times New Roman" w:hAnsi="Arial" w:cs="Arial"/>
          <w:sz w:val="15"/>
          <w:szCs w:val="15"/>
        </w:rPr>
        <w:t>ProQuest</w:t>
      </w:r>
      <w:proofErr w:type="spellEnd"/>
      <w:r w:rsidRPr="001F70F0">
        <w:rPr>
          <w:rFonts w:ascii="Arial" w:eastAsia="Times New Roman" w:hAnsi="Arial" w:cs="Arial"/>
          <w:sz w:val="15"/>
          <w:szCs w:val="15"/>
        </w:rPr>
        <w:t xml:space="preserve">, 789 East Eisenhower Parkway, Ann Arbor, MI 48106-1346, Telephone (734) 761-4700, and are also available at the following Web site: </w:t>
      </w:r>
      <w:r w:rsidRPr="001F70F0">
        <w:rPr>
          <w:rFonts w:ascii="Arial" w:eastAsia="Times New Roman" w:hAnsi="Arial" w:cs="Arial"/>
          <w:i/>
          <w:iCs/>
          <w:sz w:val="15"/>
          <w:szCs w:val="15"/>
        </w:rPr>
        <w:t>http://www.proquest.com</w:t>
      </w:r>
      <w:r w:rsidRPr="001F70F0">
        <w:rPr>
          <w:rFonts w:ascii="Arial" w:eastAsia="Times New Roman" w:hAnsi="Arial" w:cs="Arial"/>
          <w:sz w:val="15"/>
          <w:szCs w:val="15"/>
        </w:rPr>
        <w:t xml:space="preserve"> .</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ASTM A99-76, 82 (Reapproved 1987), Standard Specification for Ferromanganese, incorporation by reference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ASTM A100-69, 74, 93, Standard Specification for Ferrosilicon,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ASTM A101-73, 93, Standard Specification for Ferrochromium,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 ASTM A482-76, 93, Standard Specification for </w:t>
      </w:r>
      <w:proofErr w:type="spellStart"/>
      <w:r w:rsidRPr="001F70F0">
        <w:rPr>
          <w:rFonts w:ascii="Arial" w:eastAsia="Times New Roman" w:hAnsi="Arial" w:cs="Arial"/>
          <w:sz w:val="15"/>
          <w:szCs w:val="15"/>
        </w:rPr>
        <w:t>Ferrochromesilicon</w:t>
      </w:r>
      <w:proofErr w:type="spellEnd"/>
      <w:r w:rsidRPr="001F70F0">
        <w:rPr>
          <w:rFonts w:ascii="Arial" w:eastAsia="Times New Roman" w:hAnsi="Arial" w:cs="Arial"/>
          <w:sz w:val="15"/>
          <w:szCs w:val="15"/>
        </w:rPr>
        <w:t>,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(5) ASTM A483-64, 74 (Reapproved 1988), Standard Specification for </w:t>
      </w:r>
      <w:proofErr w:type="spellStart"/>
      <w:r w:rsidRPr="001F70F0">
        <w:rPr>
          <w:rFonts w:ascii="Arial" w:eastAsia="Times New Roman" w:hAnsi="Arial" w:cs="Arial"/>
          <w:sz w:val="15"/>
          <w:szCs w:val="15"/>
        </w:rPr>
        <w:t>Silicomanganese</w:t>
      </w:r>
      <w:proofErr w:type="spellEnd"/>
      <w:r w:rsidRPr="001F70F0">
        <w:rPr>
          <w:rFonts w:ascii="Arial" w:eastAsia="Times New Roman" w:hAnsi="Arial" w:cs="Arial"/>
          <w:sz w:val="15"/>
          <w:szCs w:val="15"/>
        </w:rPr>
        <w:t>,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ASTM A495-76, 94, Standard Specification for Calcium-Silicon and Calcium Manganese-Silicon,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(7) ASTM D86-96, Standard Test Method for Distillation of Petroleum Products (Approved April 10, 1996), IBR approved for §§ 60.562-2(d), 60.593(d), </w:t>
      </w:r>
      <w:proofErr w:type="gramStart"/>
      <w:r w:rsidRPr="001F70F0">
        <w:rPr>
          <w:rFonts w:ascii="Arial" w:eastAsia="Times New Roman" w:hAnsi="Arial" w:cs="Arial"/>
          <w:sz w:val="15"/>
          <w:szCs w:val="15"/>
        </w:rPr>
        <w:t>60.593a(</w:t>
      </w:r>
      <w:proofErr w:type="gramEnd"/>
      <w:r w:rsidRPr="001F70F0">
        <w:rPr>
          <w:rFonts w:ascii="Arial" w:eastAsia="Times New Roman" w:hAnsi="Arial" w:cs="Arial"/>
          <w:sz w:val="15"/>
          <w:szCs w:val="15"/>
        </w:rPr>
        <w:t>d), 60.633(h) and 60.5401(f).</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 ASTM D129-64, 78, 95, 00, Standard Test Method for Sulfur in Petroleum Products (General Bomb Method), IBR approved for §§ 60.106(j)(2), 60.335(b)(10)(</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and appendix A: Method 19, 12.5.2.2.3.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 ASTM D129-00 (Reapproved 2005), Standard Test Method for Sulfur in Petroleum Products (General Bomb Method), IBR approved for § 60.4415(a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 ASTM D240-76, 92, Standard Test Method for Heat of Combustion of Liquid Hydrocarbon Fuels by Bomb Calorimeter, IBR approved for §§ 60.46(c), 60.296(b), and appendix A: Method 19, Section 12.5.2.2.3.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(11) ASTM D270-65, 75, Standard Method of Sampling Petroleum and Petroleum Products, IBR approved for appendix A: Method 19, Section 12.5.2.2.1.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(12) ASTM D323-82, 94, Test Method for Vapor Pressure of Petroleum Products (Reid Method), IBR approved for §§ 60.111(l), 60.111a(g), 60.111b(g), and 60.116b(f)(2)(ii).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(13) ASTM D388-77, 90, 91, 95, 98a, 99 (Reapproved 2004) </w:t>
      </w:r>
      <w:r w:rsidRPr="001F70F0">
        <w:rPr>
          <w:rFonts w:ascii="Arial" w:eastAsia="Times New Roman" w:hAnsi="Arial" w:cs="Arial"/>
          <w:sz w:val="11"/>
          <w:szCs w:val="11"/>
          <w:vertAlign w:val="superscript"/>
        </w:rPr>
        <w:t>e1</w:t>
      </w:r>
      <w:r w:rsidRPr="001F70F0">
        <w:rPr>
          <w:rFonts w:ascii="Arial" w:eastAsia="Times New Roman" w:hAnsi="Arial" w:cs="Arial"/>
          <w:sz w:val="15"/>
          <w:szCs w:val="15"/>
        </w:rPr>
        <w:t xml:space="preserve"> , Standard Specification for Classification of Coals by Rank, IBR approved for §§ 60.24(h)(8), 60.41 of subpart D of this part, 60.45(f)(4)(</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xml:space="preserve">), 60.45(f)(4)(ii), 60.45(f)(4)(vi), 60.41Da of subpart </w:t>
      </w:r>
      <w:proofErr w:type="spellStart"/>
      <w:r w:rsidRPr="001F70F0">
        <w:rPr>
          <w:rFonts w:ascii="Arial" w:eastAsia="Times New Roman" w:hAnsi="Arial" w:cs="Arial"/>
          <w:sz w:val="15"/>
          <w:szCs w:val="15"/>
        </w:rPr>
        <w:t>Da</w:t>
      </w:r>
      <w:proofErr w:type="spellEnd"/>
      <w:r w:rsidRPr="001F70F0">
        <w:rPr>
          <w:rFonts w:ascii="Arial" w:eastAsia="Times New Roman" w:hAnsi="Arial" w:cs="Arial"/>
          <w:sz w:val="15"/>
          <w:szCs w:val="15"/>
        </w:rPr>
        <w:t xml:space="preserve"> of this part, 60.41b of subpart Db of this part, 60.41c of subpart Dc of this part, 60.251 of subpart Y of this part, and 60.4102.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(14) ASTM D396-78, 89, 90, 92, 96, 98, Standard Specification for Fuel Oils, IBR approved for §§ 60.41b of subpart Db of this part, 60.41c of subpart Dc of this part, 60.111(b) of subpart K of this part, and 60.111a(b) of subpart Ka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(15) ASTM D975-78, 96, 98a, Standard Specification for Diesel Fuel Oils, IBR approved for §§ 60.111(b) of subpart K of this part and </w:t>
      </w:r>
      <w:proofErr w:type="gramStart"/>
      <w:r w:rsidRPr="001F70F0">
        <w:rPr>
          <w:rFonts w:ascii="Arial" w:eastAsia="Times New Roman" w:hAnsi="Arial" w:cs="Arial"/>
          <w:sz w:val="15"/>
          <w:szCs w:val="15"/>
        </w:rPr>
        <w:t>60.111a(</w:t>
      </w:r>
      <w:proofErr w:type="gramEnd"/>
      <w:r w:rsidRPr="001F70F0">
        <w:rPr>
          <w:rFonts w:ascii="Arial" w:eastAsia="Times New Roman" w:hAnsi="Arial" w:cs="Arial"/>
          <w:sz w:val="15"/>
          <w:szCs w:val="15"/>
        </w:rPr>
        <w:t>b) of subpart Ka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(16) ASTM D975-08a, Standard Specification for Diesel Fuel Oils, IBR approved for §§ 60.41b of subpart Db of this part and 60.41c of subpart Dc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(17) ASTM D1072-80, 90 (Reapproved 1994), Standard Test Method for Total Sulfur in Fuel Gases, IBR approved for § 60.335(b</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10)(ii).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(18) ASTM D1072-90 (Reapproved 1999), Standard Test Method for Total Sulfur in Fuel Gases, IBR approved for § 60.4415(a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(19) ASTM D1137-53, 75, Standard Method for Analysis of Natural Gases and Related Types of Gaseous Mixtures by the Mass Spectrometer, IBR approved for § 60.45(f)(5)(</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(21) ASTM D1266-87, 91, 98, Standard Test Method for Sulfur in Petroleum Products (Lamp Method), IBR approved for §§ 60.106(j</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2) and 60.335(b)(10)(</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(22) ASTM D1266-98 (Reapproved 2003</w:t>
      </w:r>
      <w:proofErr w:type="gramStart"/>
      <w:r w:rsidRPr="001F70F0">
        <w:rPr>
          <w:rFonts w:ascii="Arial" w:eastAsia="Times New Roman" w:hAnsi="Arial" w:cs="Arial"/>
          <w:sz w:val="15"/>
          <w:szCs w:val="15"/>
        </w:rPr>
        <w:t>)e1</w:t>
      </w:r>
      <w:proofErr w:type="gramEnd"/>
      <w:r w:rsidRPr="001F70F0">
        <w:rPr>
          <w:rFonts w:ascii="Arial" w:eastAsia="Times New Roman" w:hAnsi="Arial" w:cs="Arial"/>
          <w:sz w:val="15"/>
          <w:szCs w:val="15"/>
        </w:rPr>
        <w:t>, Standard Test Method for Sulfur in Petroleum Products (Lamp Method), IBR approved for § 60.4415(a)(1)(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(23) ASTM D1475-60 (Reapproved 1980), 90, Standard Test Method for Density of Paint, Varnish Lacquer, and Related Products, IBR approved for § 60.435(d)(1), appendix A: Method 24, Section 6.1; and Method 24A, Sections 6.5 and 7.1.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(24) ASTM D1552-83, 95, 01, Standard Test Method for Sulfur in Petroleum Products (High-Temperature Method), IBR approved for §§ 60.106(j</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2), 60.335(b)(10)(</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and appendix A: Method 19, Section 12.5.2.2.3.</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(25) ASTM D1552-03, Standard Test Method for Sulfur in Petroleum Products (High-Temperature Method), IBR approved for § 60.4415(a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(26) ASTM D1826-77, 94, Standard Test Method for Calorific Value of Gases in Natural Gas Range by Continuous Recording Calorimeter, IBR approved for §§ 60.45(f)(5)(ii), 60.46(c)(2), 60.296(b)(3), and appendix A: Method 19, Section 12.3.2.4.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(27) ASTM D1835-87, 91, 97, 03a, Standard Specification for Liquefied Petroleum (LP) Gases, IBR approved for §§ 60.41Da of subpart </w:t>
      </w:r>
      <w:proofErr w:type="spellStart"/>
      <w:r w:rsidRPr="001F70F0">
        <w:rPr>
          <w:rFonts w:ascii="Arial" w:eastAsia="Times New Roman" w:hAnsi="Arial" w:cs="Arial"/>
          <w:sz w:val="15"/>
          <w:szCs w:val="15"/>
        </w:rPr>
        <w:t>Da</w:t>
      </w:r>
      <w:proofErr w:type="spellEnd"/>
      <w:r w:rsidRPr="001F70F0">
        <w:rPr>
          <w:rFonts w:ascii="Arial" w:eastAsia="Times New Roman" w:hAnsi="Arial" w:cs="Arial"/>
          <w:sz w:val="15"/>
          <w:szCs w:val="15"/>
        </w:rPr>
        <w:t xml:space="preserve"> of this part, 60.41b of subpart Db of this part, and 60.41c of subpart Dc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(28) ASTM D1945-64, 76, 91, 96, Standard Method for Analysis of Natural Gas by Gas Chromatography, IBR approved for § 60.45(f)(5)(</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(29) ASTM D1946-77, 90 (Reapproved 1994), Standard Method for Analysis of Reformed Gas by Gas Chromatography, IBR approved for §§ 60.18(f)(3), 60.45(f)(5)(</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60.564(f)(1), 60.614(e)(2)(ii), 60.614(e)(4), 60.664(e)(2)(ii), 60.664(e)(4), 60.704(d)(2)(ii), and 60.704(d)(4).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(30) ASTM D2013-72, 86, Standard Method of Preparing Coal Samples for Analysis, IBR approved for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(31) ASTM D2015-77 (Reapproved 1978), 96, Standard Test Method for Gross Calorific Value of Solid Fuel by the Adiabatic Bomb Calorimeter, IBR approved for § 60.45(f</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5)(ii), 60.46(c)(2), and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(32) ASTM D2016-74, 83, Standard Test Methods for Moisture Content of Wood, IBR approved for appendix A: Method 28, Section 16.1.1.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(33) ASTM D2234-76, 96, 97b, 98, Standard Methods for Collection of a Gross Sample of Coal, IBR approved for appendix A: Method 19, Section 12.5.2.1.1.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(34) ASTM D2369-81, 87, 90, 92, 93, 95, Standard Test Method for Volatile Content of Coatings, IBR approved for appendix A: Method 24, Section 6.2.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(35) ASTM D2382-76, 88, Heat of Combustion of Hydrocarbon Fuels by Bomb Calorimeter (High-Precision Method), IBR approved for §§ 60.18(f)(3), 60.485(g)(6), 60.485a(g)(6), 60.564(f)(3), 60.614(e)(4), 60.664(e)(4), and 60.704(d)(4).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(36) ASTM D2504-67, 77, 88 (Reapproved 1993), </w:t>
      </w:r>
      <w:proofErr w:type="spellStart"/>
      <w:r w:rsidRPr="001F70F0">
        <w:rPr>
          <w:rFonts w:ascii="Arial" w:eastAsia="Times New Roman" w:hAnsi="Arial" w:cs="Arial"/>
          <w:sz w:val="15"/>
          <w:szCs w:val="15"/>
        </w:rPr>
        <w:t>Noncondensable</w:t>
      </w:r>
      <w:proofErr w:type="spellEnd"/>
      <w:r w:rsidRPr="001F70F0">
        <w:rPr>
          <w:rFonts w:ascii="Arial" w:eastAsia="Times New Roman" w:hAnsi="Arial" w:cs="Arial"/>
          <w:sz w:val="15"/>
          <w:szCs w:val="15"/>
        </w:rPr>
        <w:t xml:space="preserve"> Gases in C3 and Lighter Hydrocarbon Products by Gas Chromatography, IBR approved for §§ 60.485(g</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5) and 60.485a(g)(5).</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(37) ASTM D2584-68 (Reapproved 1985), 94, Standard Test Method for Ignition Loss of Cured Reinforced Resins, IBR approved for § 60.685(c</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3)(</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(38) ASTM D2597-94 (Reapproved 1999), Standard Test Method for Analysis of </w:t>
      </w:r>
      <w:proofErr w:type="spellStart"/>
      <w:r w:rsidRPr="001F70F0">
        <w:rPr>
          <w:rFonts w:ascii="Arial" w:eastAsia="Times New Roman" w:hAnsi="Arial" w:cs="Arial"/>
          <w:sz w:val="15"/>
          <w:szCs w:val="15"/>
        </w:rPr>
        <w:t>Demethanized</w:t>
      </w:r>
      <w:proofErr w:type="spellEnd"/>
      <w:r w:rsidRPr="001F70F0">
        <w:rPr>
          <w:rFonts w:ascii="Arial" w:eastAsia="Times New Roman" w:hAnsi="Arial" w:cs="Arial"/>
          <w:sz w:val="15"/>
          <w:szCs w:val="15"/>
        </w:rPr>
        <w:t xml:space="preserve"> Hydrocarbon Liquid Mixtures Containing Nitrogen and Carbon Dioxide by Gas Chromatography, IBR approved for § 60.335(b</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9)(</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(39) ASTM D2622-87, 94, 98, Standard Test Method for Sulfur in Petroleum Products by Wavelength Dispersive X-Ray Fluorescence Spectrometry, IBR approved for §§ 60.106(j</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2) and 60.335(b)(10)(</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(40) ASTM D2622-05, Standard Test Method for Sulfur in Petroleum Products by Wavelength Dispersive X-Ray Fluorescence Spectrometry, IBR approved for § 60.4415(a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(41) ASTM D2879-83, 96, 97, Test Method for Vapor Pressure-Temperature Relationship and Initial Decomposition Temperature of Liquids by </w:t>
      </w:r>
      <w:proofErr w:type="spellStart"/>
      <w:r w:rsidRPr="001F70F0">
        <w:rPr>
          <w:rFonts w:ascii="Arial" w:eastAsia="Times New Roman" w:hAnsi="Arial" w:cs="Arial"/>
          <w:sz w:val="15"/>
          <w:szCs w:val="15"/>
        </w:rPr>
        <w:t>Isoteniscope</w:t>
      </w:r>
      <w:proofErr w:type="spellEnd"/>
      <w:r w:rsidRPr="001F70F0">
        <w:rPr>
          <w:rFonts w:ascii="Arial" w:eastAsia="Times New Roman" w:hAnsi="Arial" w:cs="Arial"/>
          <w:sz w:val="15"/>
          <w:szCs w:val="15"/>
        </w:rPr>
        <w:t>, IBR approved for §§ 60.111b(f)(3), 60.116b(e)(3)(ii), 60.116b(f)(2)(</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60.485(e)(1), and 60.485a(e)(1).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(42) ASTM D2880-78, 96, Standard Specification for Gas Turbine Fuel Oils, IBR approved for §§ 60.111(b), </w:t>
      </w:r>
      <w:proofErr w:type="gramStart"/>
      <w:r w:rsidRPr="001F70F0">
        <w:rPr>
          <w:rFonts w:ascii="Arial" w:eastAsia="Times New Roman" w:hAnsi="Arial" w:cs="Arial"/>
          <w:sz w:val="15"/>
          <w:szCs w:val="15"/>
        </w:rPr>
        <w:t>60.111a(</w:t>
      </w:r>
      <w:proofErr w:type="gramEnd"/>
      <w:r w:rsidRPr="001F70F0">
        <w:rPr>
          <w:rFonts w:ascii="Arial" w:eastAsia="Times New Roman" w:hAnsi="Arial" w:cs="Arial"/>
          <w:sz w:val="15"/>
          <w:szCs w:val="15"/>
        </w:rPr>
        <w:t>b), and 60.335(d).</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(43) ASTM D2908-74, 91, Standard Practice for Measuring Volatile Organic Matter in Water by Aqueous-Injection Gas Chromatography, IBR approved for § 60.564(j).</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(44) ASTM D2986-71, 78, 95a, Standard Method for Evaluation of Air, Assay Media by the </w:t>
      </w:r>
      <w:proofErr w:type="spellStart"/>
      <w:r w:rsidRPr="001F70F0">
        <w:rPr>
          <w:rFonts w:ascii="Arial" w:eastAsia="Times New Roman" w:hAnsi="Arial" w:cs="Arial"/>
          <w:sz w:val="15"/>
          <w:szCs w:val="15"/>
        </w:rPr>
        <w:t>Monodisperse</w:t>
      </w:r>
      <w:proofErr w:type="spellEnd"/>
      <w:r w:rsidRPr="001F70F0">
        <w:rPr>
          <w:rFonts w:ascii="Arial" w:eastAsia="Times New Roman" w:hAnsi="Arial" w:cs="Arial"/>
          <w:sz w:val="15"/>
          <w:szCs w:val="15"/>
        </w:rPr>
        <w:t xml:space="preserve"> DOP (</w:t>
      </w:r>
      <w:proofErr w:type="spellStart"/>
      <w:r w:rsidRPr="001F70F0">
        <w:rPr>
          <w:rFonts w:ascii="Arial" w:eastAsia="Times New Roman" w:hAnsi="Arial" w:cs="Arial"/>
          <w:sz w:val="15"/>
          <w:szCs w:val="15"/>
        </w:rPr>
        <w:t>Dioctyl</w:t>
      </w:r>
      <w:proofErr w:type="spellEnd"/>
      <w:r w:rsidRPr="001F70F0">
        <w:rPr>
          <w:rFonts w:ascii="Arial" w:eastAsia="Times New Roman" w:hAnsi="Arial" w:cs="Arial"/>
          <w:sz w:val="15"/>
          <w:szCs w:val="15"/>
        </w:rPr>
        <w:t xml:space="preserve"> Phthalate) Smoke Test, IBR approved for appendix A: Method 5, Section 7.1.1; Method 12, Section 7.1.1; and Method 13A, Section 7.1.1.2.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(45) ASTM D3173-73, 87, Standard Test Method for Moisture in the Analysis Sample of Coal and Coke, IBR approved for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(46) ASTM D3176-74, 89, Standard Method for Ultimate Analysis of Coal and Coke, IBR approved for § 60.45(f</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5)(</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and appendix A: Method 19, Section 12.3.2.3.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(47) ASTM D3177-75, 89, Standard Test Method for Total Sulfur in the Analysis Sample of Coal and Coke, IBR approved for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(48) ASTM D3178-73 (Reapproved 1979), 89, Standard Test Methods for Carbon and Hydrogen in the Analysis Sample of Coal and Coke, IBR approved for § 60.45(f</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5)(</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(49) ASTM D3246-81, 92, 96, Standard Test Method for Sulfur in Petroleum Gas by Oxidative </w:t>
      </w:r>
      <w:proofErr w:type="spellStart"/>
      <w:r w:rsidRPr="001F70F0">
        <w:rPr>
          <w:rFonts w:ascii="Arial" w:eastAsia="Times New Roman" w:hAnsi="Arial" w:cs="Arial"/>
          <w:sz w:val="15"/>
          <w:szCs w:val="15"/>
        </w:rPr>
        <w:t>Microcoulometry</w:t>
      </w:r>
      <w:proofErr w:type="spellEnd"/>
      <w:r w:rsidRPr="001F70F0">
        <w:rPr>
          <w:rFonts w:ascii="Arial" w:eastAsia="Times New Roman" w:hAnsi="Arial" w:cs="Arial"/>
          <w:sz w:val="15"/>
          <w:szCs w:val="15"/>
        </w:rPr>
        <w:t>, IBR approved for § 60.335(b</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10)(ii).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(50) ASTM D3246-05, Standard Test Method for Sulfur in Petroleum Gas by Oxidative </w:t>
      </w:r>
      <w:proofErr w:type="spellStart"/>
      <w:r w:rsidRPr="001F70F0">
        <w:rPr>
          <w:rFonts w:ascii="Arial" w:eastAsia="Times New Roman" w:hAnsi="Arial" w:cs="Arial"/>
          <w:sz w:val="15"/>
          <w:szCs w:val="15"/>
        </w:rPr>
        <w:t>Microcoulometry</w:t>
      </w:r>
      <w:proofErr w:type="spellEnd"/>
      <w:r w:rsidRPr="001F70F0">
        <w:rPr>
          <w:rFonts w:ascii="Arial" w:eastAsia="Times New Roman" w:hAnsi="Arial" w:cs="Arial"/>
          <w:sz w:val="15"/>
          <w:szCs w:val="15"/>
        </w:rPr>
        <w:t>, IBR approved for § 60.4415(a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(51) ASTM D3270-73T, 80, 91, 95, Standard Test Methods for Analysis for Fluoride Content of the Atmosphere and Plant Tissues (</w:t>
      </w:r>
      <w:proofErr w:type="spellStart"/>
      <w:r w:rsidRPr="001F70F0">
        <w:rPr>
          <w:rFonts w:ascii="Arial" w:eastAsia="Times New Roman" w:hAnsi="Arial" w:cs="Arial"/>
          <w:sz w:val="15"/>
          <w:szCs w:val="15"/>
        </w:rPr>
        <w:t>Semiautomated</w:t>
      </w:r>
      <w:proofErr w:type="spellEnd"/>
      <w:r w:rsidRPr="001F70F0">
        <w:rPr>
          <w:rFonts w:ascii="Arial" w:eastAsia="Times New Roman" w:hAnsi="Arial" w:cs="Arial"/>
          <w:sz w:val="15"/>
          <w:szCs w:val="15"/>
        </w:rPr>
        <w:t xml:space="preserve"> Method), IBR approved for appendix A: Method 13A, Section 16.1.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(52) ASTM D3286-85, 96, Standard Test Method for Gross Calorific Value of Coal and Coke by the </w:t>
      </w:r>
      <w:proofErr w:type="spellStart"/>
      <w:r w:rsidRPr="001F70F0">
        <w:rPr>
          <w:rFonts w:ascii="Arial" w:eastAsia="Times New Roman" w:hAnsi="Arial" w:cs="Arial"/>
          <w:sz w:val="15"/>
          <w:szCs w:val="15"/>
        </w:rPr>
        <w:t>Isoperibol</w:t>
      </w:r>
      <w:proofErr w:type="spellEnd"/>
      <w:r w:rsidRPr="001F70F0">
        <w:rPr>
          <w:rFonts w:ascii="Arial" w:eastAsia="Times New Roman" w:hAnsi="Arial" w:cs="Arial"/>
          <w:sz w:val="15"/>
          <w:szCs w:val="15"/>
        </w:rPr>
        <w:t xml:space="preserve"> Bomb Calorimeter, IBR approved for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(53) ASTM D3370-76, 95a, Standard Practices for Sampling Water, IBR approved for § 60.564(j).</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(54) ASTM D3792-79, 91, Standard Test Method for Water Content of Water-Reducible Paints by Direct Injection into a Gas Chromatograph, IBR approved for appendix A: Method 24, Section 6.3.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(55) ASTM D4017-81, 90, 96a, Standard Test Method for Water in Paints and Paint Materials by the Karl Fischer Titration Method, IBR approved for appendix A: Method 24, Section 6.4.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(56) ASTM D4057-81, 95, Standard Practice for Manual Sampling of Petroleum and Petroleum Products, IBR approved for appendix A: Method 19, Section 12.5.2.2.3.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(57) ASTM D4057-95 (Reapproved 2000), Standard Practice for Manual Sampling of Petroleum and Petroleum Products, IBR approved for § 60.4415(a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(58) ASTM D4084-82, 94, Standard Test Method for Analysis of Hydrogen Sulfide in Gaseous Fuels (Lead Acetate Reaction Rate Method), IBR approved for § 60.334(h)(1).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(59) ASTM D4084-05, Standard Test Method for Analysis of Hydrogen Sulfide in Gaseous Fuels (Lead Acetate Reaction Rate Method), IBR approved for §§ 60.4360 and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(60) ASTM D4177-95, Standard Practice for Automatic Sampling of Petroleum and Petroleum Products, IBR approved for appendix A: Method 19, Section 12.5.2.2.1.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(61) ASTM D4177-95 (Reapproved 2000), Standard Practice for Automatic Sampling of Petroleum and Petroleum Products, IBR approved for § 60.4415(a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(62) ASTM D4239-85, 94, 97, Standard Test Methods for Sulfur in the Analysis Sample of Coal and Coke Using High Temperature Tube Furnace Combustion Methods, IBR approved for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(63) ASTM D4294-02, Standard Test Method for Sulfur in Petroleum and Petroleum Products by Energy-Dispersive X-Ray Fluorescence Spectrometry, IBR approved for § 60.335(b)(10)(</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(64) ASTM D4294-03, Standard Test Method for Sulfur in Petroleum and Petroleum Products by Energy-Dispersive X-Ray Fluorescence Spectrometry, IBR approved for § 60.4415(a)(1)(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(65) ASTM D4442-84, 92, Standard Test Methods for Direct Moisture Content Measurement in Wood and Wood-base Materials, IBR approved for appendix A: Method 28, Section 16.1.1.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(66) ASTM D4444-92, Standard Test Methods for Use and Calibration of Hand-Held Moisture Meters, IBR approved for appendix A: Method 28, Section 16.1.1.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(67) ASTM D4457-85 (Reapproved 1991), Test Method for Determination of Dichloromethane and 1, 1, 1-Trichloroethane in Paints and Coatings by Direct Injection into a Gas Chromatograph, IBR approved for appendix A: Method 24, Section 6.5.</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(68) ASTM D4468-85 (Reapproved 2000), Standard Test Method for Total Sulfur in Gaseous Fuels by </w:t>
      </w:r>
      <w:proofErr w:type="spellStart"/>
      <w:r w:rsidRPr="001F70F0">
        <w:rPr>
          <w:rFonts w:ascii="Arial" w:eastAsia="Times New Roman" w:hAnsi="Arial" w:cs="Arial"/>
          <w:sz w:val="15"/>
          <w:szCs w:val="15"/>
        </w:rPr>
        <w:t>Hydrogenolysis</w:t>
      </w:r>
      <w:proofErr w:type="spellEnd"/>
      <w:r w:rsidRPr="001F70F0">
        <w:rPr>
          <w:rFonts w:ascii="Arial" w:eastAsia="Times New Roman" w:hAnsi="Arial" w:cs="Arial"/>
          <w:sz w:val="15"/>
          <w:szCs w:val="15"/>
        </w:rPr>
        <w:t xml:space="preserve"> and </w:t>
      </w:r>
      <w:proofErr w:type="spellStart"/>
      <w:r w:rsidRPr="001F70F0">
        <w:rPr>
          <w:rFonts w:ascii="Arial" w:eastAsia="Times New Roman" w:hAnsi="Arial" w:cs="Arial"/>
          <w:sz w:val="15"/>
          <w:szCs w:val="15"/>
        </w:rPr>
        <w:t>Rateometric</w:t>
      </w:r>
      <w:proofErr w:type="spellEnd"/>
      <w:r w:rsidRPr="001F70F0">
        <w:rPr>
          <w:rFonts w:ascii="Arial" w:eastAsia="Times New Roman" w:hAnsi="Arial" w:cs="Arial"/>
          <w:sz w:val="15"/>
          <w:szCs w:val="15"/>
        </w:rPr>
        <w:t xml:space="preserve"> </w:t>
      </w:r>
      <w:proofErr w:type="spellStart"/>
      <w:r w:rsidRPr="001F70F0">
        <w:rPr>
          <w:rFonts w:ascii="Arial" w:eastAsia="Times New Roman" w:hAnsi="Arial" w:cs="Arial"/>
          <w:sz w:val="15"/>
          <w:szCs w:val="15"/>
        </w:rPr>
        <w:t>Colorimetry</w:t>
      </w:r>
      <w:proofErr w:type="spellEnd"/>
      <w:r w:rsidRPr="001F70F0">
        <w:rPr>
          <w:rFonts w:ascii="Arial" w:eastAsia="Times New Roman" w:hAnsi="Arial" w:cs="Arial"/>
          <w:sz w:val="15"/>
          <w:szCs w:val="15"/>
        </w:rPr>
        <w:t>, IBR approved for §§ 60.335(b)(10)(ii) and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(69) ASTM D4629-02, Standard Test Method for Trace Nitrogen in Liquid Petroleum Hydrocarbons by Syringe/Inlet Oxidative Combustion and </w:t>
      </w:r>
      <w:proofErr w:type="spellStart"/>
      <w:r w:rsidRPr="001F70F0">
        <w:rPr>
          <w:rFonts w:ascii="Arial" w:eastAsia="Times New Roman" w:hAnsi="Arial" w:cs="Arial"/>
          <w:sz w:val="15"/>
          <w:szCs w:val="15"/>
        </w:rPr>
        <w:t>Chemiluminescence</w:t>
      </w:r>
      <w:proofErr w:type="spellEnd"/>
      <w:r w:rsidRPr="001F70F0">
        <w:rPr>
          <w:rFonts w:ascii="Arial" w:eastAsia="Times New Roman" w:hAnsi="Arial" w:cs="Arial"/>
          <w:sz w:val="15"/>
          <w:szCs w:val="15"/>
        </w:rPr>
        <w:t xml:space="preserve"> Detection, IBR approved for §§ 60.49b(e) and 60.335(b)(9)(</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(70) ASTM D4809-95, Standard Test Method for Heat of Combustion of Liquid Hydrocarbon Fuels by Bomb Calorimeter (Precision Method), IBR approved for §§ 60.18(f)(3), 60.485(g)(6), 60.485a(g)(6), 60.564(f)(3), 60.614(d)(4), 60.664(e)(4), and 60.704(d)(4).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(71) ASTM D4810-88 (Reapproved 1999), Standard Test Method for Hydrogen Sulfide in Natural Gas Using Length of Stain Detector Tubes, IBR approved for §§ 60.4360 and 60.4415(a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(72) ASTM D5287-97 (Reapproved 2002), Standard Practice for Automatic Sampling of Gaseous Fuels, IBR approved for § 60.4415(a</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(73) ASTM D5403-93, Standard Test Methods for Volatile Content of Radiation Curable Materials, IBR approved for appendix A: Method 24, Section 6.6.</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(74) ASTM D5453-00, Standard Test Method for Determination of Total Sulfur in Light Hydrocarbons, Motor Fuels and Oils by Ultraviolet Fluorescence, IBR approved for § 60.335(b)(10)(</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(75) ASTM D5453-05, Standard Test Method for Determination of Total Sulfur in Light Hydrocarbons, Motor Fuels and Oils by Ultraviolet Fluorescence, IBR approved for § 60.4415(a)(1)(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(76) ASTM D5504-01, Standard Test Method for Determination of Sulfur Compounds in Natural Gas and Gaseous Fuels by Gas Chromatography and </w:t>
      </w:r>
      <w:proofErr w:type="spellStart"/>
      <w:r w:rsidRPr="001F70F0">
        <w:rPr>
          <w:rFonts w:ascii="Arial" w:eastAsia="Times New Roman" w:hAnsi="Arial" w:cs="Arial"/>
          <w:sz w:val="15"/>
          <w:szCs w:val="15"/>
        </w:rPr>
        <w:t>Chemiluminescence</w:t>
      </w:r>
      <w:proofErr w:type="spellEnd"/>
      <w:r w:rsidRPr="001F70F0">
        <w:rPr>
          <w:rFonts w:ascii="Arial" w:eastAsia="Times New Roman" w:hAnsi="Arial" w:cs="Arial"/>
          <w:sz w:val="15"/>
          <w:szCs w:val="15"/>
        </w:rPr>
        <w:t>, IBR approved for §§ 60.334(h)(1) and 60.4360.</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(77) ASTM D5762-02, Standard Test Method for Nitrogen in Petroleum and Petroleum Products by Boat-Inlet </w:t>
      </w:r>
      <w:proofErr w:type="spellStart"/>
      <w:r w:rsidRPr="001F70F0">
        <w:rPr>
          <w:rFonts w:ascii="Arial" w:eastAsia="Times New Roman" w:hAnsi="Arial" w:cs="Arial"/>
          <w:sz w:val="15"/>
          <w:szCs w:val="15"/>
        </w:rPr>
        <w:t>Chemiluminescence</w:t>
      </w:r>
      <w:proofErr w:type="spellEnd"/>
      <w:r w:rsidRPr="001F70F0">
        <w:rPr>
          <w:rFonts w:ascii="Arial" w:eastAsia="Times New Roman" w:hAnsi="Arial" w:cs="Arial"/>
          <w:sz w:val="15"/>
          <w:szCs w:val="15"/>
        </w:rPr>
        <w:t>, IBR approved for § 60.335(b)(9)(</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(78) ASTM D5865-98, Standard Test Method for Gross Calorific Value of Coal and Coke, IBR approved for § 60.45(f</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5)(ii), 60.46(c)(2), and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(79) ASTM D6216-98, Standard Practice for Opacity Monitor Manufacturers to Certify Conformance with Design and Performance Specifications, IBR approved for appendix B, Performance Specification 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(80) ASTM D6228-98, Standard Test Method for Determination of Sulfur Compounds in Natural Gas and Gaseous Fuels by Gas Chromatography and Flame Photometric Detection, IBR approved for § 60.334(h)(1).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(81) ASTM D6228-98 (Reapproved 2003), Standard Test Method for Determination of Sulfur Compounds in Natural Gas and Gaseous Fuels by Gas Chromatography and Flame Photometric Detection, IBR approved for §§ 60.4360 and 60.4415.</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(82) ASTM D6348-03, Standard Test Method for Determination of Gaseous Compounds by Extractive Direct Interface Fourier Transform Infrared (FTIR) Spectroscopy, approved October 1, 2003, IBR approved for § 60.73a(b) of subpart </w:t>
      </w:r>
      <w:proofErr w:type="spellStart"/>
      <w:r w:rsidRPr="001F70F0">
        <w:rPr>
          <w:rFonts w:ascii="Arial" w:eastAsia="Times New Roman" w:hAnsi="Arial" w:cs="Arial"/>
          <w:sz w:val="15"/>
          <w:szCs w:val="15"/>
        </w:rPr>
        <w:t>Ga</w:t>
      </w:r>
      <w:proofErr w:type="spellEnd"/>
      <w:r w:rsidRPr="001F70F0">
        <w:rPr>
          <w:rFonts w:ascii="Arial" w:eastAsia="Times New Roman" w:hAnsi="Arial" w:cs="Arial"/>
          <w:sz w:val="15"/>
          <w:szCs w:val="15"/>
        </w:rPr>
        <w:t xml:space="preserve"> of this part, table 7 of subpart IIII of this part, and table 2 of subpart JJJJ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(83) ASTM D6366-99, Standard Test Method for Total Trace Nitrogen and Its Derivatives in Liquid Aromatic Hydrocarbons by Oxidative Combustion and Electrochemical Detection, IBR approved for § 60.335(b)(9)(</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(84) ASTM D6420-99 (Reapproved 2004), Standard Test Method for Determination of Gaseous Organic Compounds by Direct Interface Gas Chromatography-Mass Spectrometry, (Approved October 1, 2004), IBR approved for § 60.107a(d)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and table 2 of subpart JJJJ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(85) ASTM D6522-00, Standard Test Method for Determination of Nitrogen Oxides, Carbon Monoxide, and Oxygen Concentrations in Emissions from Natural Gas-Fired Reciprocating Engines, Combustion Turbines, Boilers, and Process Heaters Using Portable Analyzers, IBR approved for § 60.335(a).</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 60.5413(b) and (d).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(87) ASTM D6667-01, Standard Test Method for Determination of Total Volatile Sulfur in Gaseous Hydrocarbons and Liquefied Petroleum Gases by Ultraviolet Fluorescence, IBR approved for § 60.335(b)(10)(ii).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(88) ASTM D6667-04, Standard Test Method for Determination of Total Volatile Sulfur in Gaseous Hydrocarbons and Liquefied Petroleum Gases by Ultraviolet Fluorescence, IBR approved for §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(89) ASTM D6784-02, Standard Test Method for Elemental, Oxidized, Particle-Bound and Total Mercury in Flue Gas Generated from Coal-Fired Stationary Sources (Ontario Hydro Method), IBR approved for appendix B to part 60, Performance Specification 12A, Section 8.6.2.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(90) ASTM D6784-02, Standard Test Method for Elemental, Oxidized, Particle-Bound and Total Mercury in Flue Gas Generated from Coal-Fired Stationary Sources (Ontario Hydro Method), IBR approved for Appendix B to part 60, Performance Specification 12A, Section 8.6.2 and § 60.56c(b)(13) of subpart </w:t>
      </w:r>
      <w:proofErr w:type="spellStart"/>
      <w:r w:rsidRPr="001F70F0">
        <w:rPr>
          <w:rFonts w:ascii="Arial" w:eastAsia="Times New Roman" w:hAnsi="Arial" w:cs="Arial"/>
          <w:sz w:val="15"/>
          <w:szCs w:val="15"/>
        </w:rPr>
        <w:t>Ec</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(91) ASTM E169-93, Standard Practices for General Techniques of Ultraviolet-Visible Quantitative Analysis (Approved May 15, 1993), IBR approved for §§ 60.485a(d), 60.593(b), 60.593a(b), 60.632(f) and 60.5400(f).</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(92) ASTM E260-96, Standard Practice for Packed Column Gas Chromatography (Approved April 10, 1996), IBR approved for §§ </w:t>
      </w:r>
      <w:proofErr w:type="gramStart"/>
      <w:r w:rsidRPr="001F70F0">
        <w:rPr>
          <w:rFonts w:ascii="Arial" w:eastAsia="Times New Roman" w:hAnsi="Arial" w:cs="Arial"/>
          <w:sz w:val="15"/>
          <w:szCs w:val="15"/>
        </w:rPr>
        <w:t>60.485a(</w:t>
      </w:r>
      <w:proofErr w:type="gramEnd"/>
      <w:r w:rsidRPr="001F70F0">
        <w:rPr>
          <w:rFonts w:ascii="Arial" w:eastAsia="Times New Roman" w:hAnsi="Arial" w:cs="Arial"/>
          <w:sz w:val="15"/>
          <w:szCs w:val="15"/>
        </w:rPr>
        <w:t>d), 60.593(b), 60.593a(b), 60.632(f), 60.5400(f) and 60.5406(b).</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(93) ASTM D6784-02 (Reapproved 2008) Standard Test Method for Elemental, Oxidized, Particle-Bound and Total Mercury in Flue Gas Generated from Coal-Fired Stationary Sources (Ontario Hydro Method), approved April 1, 2008, IBR approved for §§ 60.2165(j), 60.2730(j), tables 1, 5, 6 and 8 to subpart CCCC, and tables 2, 6, 7, and 9 to subpart DDDD, §§ 60.4900(b)(4)(v), 60.5220(b)(4)(v), tables 1 and 2 to subpart LLLL, and tables 2 and 3 to subpart MMMM.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(94) ASTM D5865-10 (Approved January 1, 2010), Standard Test Method for Gross Calorific Value of Coal and Coke, IBR approved for § 60.45(f</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5)(ii), § 60.46(c)(2), and appendix A-7 to part 60,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(95) ASTM D3588-98 (Reapproved 2003), Standard Practice for Calculating Heat Value, Compressibility Factor, and Relative Density of Gaseous Fuels, (Approved May 10, 2003),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d) and 60.5413(d).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(96) ASTM D4891-89 (Reapproved 2006), Standard Test Method for Heating Value of Gases in Natural Gas Range by </w:t>
      </w:r>
      <w:proofErr w:type="spellStart"/>
      <w:r w:rsidRPr="001F70F0">
        <w:rPr>
          <w:rFonts w:ascii="Arial" w:eastAsia="Times New Roman" w:hAnsi="Arial" w:cs="Arial"/>
          <w:sz w:val="15"/>
          <w:szCs w:val="15"/>
        </w:rPr>
        <w:t>Stoichiometric</w:t>
      </w:r>
      <w:proofErr w:type="spellEnd"/>
      <w:r w:rsidRPr="001F70F0">
        <w:rPr>
          <w:rFonts w:ascii="Arial" w:eastAsia="Times New Roman" w:hAnsi="Arial" w:cs="Arial"/>
          <w:sz w:val="15"/>
          <w:szCs w:val="15"/>
        </w:rPr>
        <w:t xml:space="preserve"> Combustion, (Approved June 1, 2006), IBR approved for §§ 60.107a(d) and 60.5413(d).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(97) ASTM D1945-03 (Reapproved 2010), Standard Method for Analysis of Natural Gas by Gas Chromatography, (Approved January 1, 2010),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d) and 60.5413(d).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(98) ASTM D5504-08, Standard Test Method for Determination of Sulfur Compounds in Natural Gas and Gaseous Fuels by Gas Chromatography and </w:t>
      </w:r>
      <w:proofErr w:type="spellStart"/>
      <w:r w:rsidRPr="001F70F0">
        <w:rPr>
          <w:rFonts w:ascii="Arial" w:eastAsia="Times New Roman" w:hAnsi="Arial" w:cs="Arial"/>
          <w:sz w:val="15"/>
          <w:szCs w:val="15"/>
        </w:rPr>
        <w:t>Chemiluminescence</w:t>
      </w:r>
      <w:proofErr w:type="spellEnd"/>
      <w:r w:rsidRPr="001F70F0">
        <w:rPr>
          <w:rFonts w:ascii="Arial" w:eastAsia="Times New Roman" w:hAnsi="Arial" w:cs="Arial"/>
          <w:sz w:val="15"/>
          <w:szCs w:val="15"/>
        </w:rPr>
        <w:t>, (Approved June 15, 2008), IBR approved for §§ 60.107a(e) and 60.5413(d).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(99) ASTM E1584-11, Standard Test Method for Assay of Nitric Acid, approved August 1, 2011, IBR approved for § 60.73a(c) of subpart </w:t>
      </w:r>
      <w:proofErr w:type="spellStart"/>
      <w:r w:rsidRPr="001F70F0">
        <w:rPr>
          <w:rFonts w:ascii="Arial" w:eastAsia="Times New Roman" w:hAnsi="Arial" w:cs="Arial"/>
          <w:sz w:val="15"/>
          <w:szCs w:val="15"/>
        </w:rPr>
        <w:t>Ga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(100) ASTM D4468-85 (Reapproved 2006), Standard Test Method for Total Sulfur in Gaseous Fuels by </w:t>
      </w:r>
      <w:proofErr w:type="spellStart"/>
      <w:r w:rsidRPr="001F70F0">
        <w:rPr>
          <w:rFonts w:ascii="Arial" w:eastAsia="Times New Roman" w:hAnsi="Arial" w:cs="Arial"/>
          <w:sz w:val="15"/>
          <w:szCs w:val="15"/>
        </w:rPr>
        <w:t>Hydrogenolysis</w:t>
      </w:r>
      <w:proofErr w:type="spellEnd"/>
      <w:r w:rsidRPr="001F70F0">
        <w:rPr>
          <w:rFonts w:ascii="Arial" w:eastAsia="Times New Roman" w:hAnsi="Arial" w:cs="Arial"/>
          <w:sz w:val="15"/>
          <w:szCs w:val="15"/>
        </w:rPr>
        <w:t xml:space="preserve"> and </w:t>
      </w:r>
      <w:proofErr w:type="spellStart"/>
      <w:r w:rsidRPr="001F70F0">
        <w:rPr>
          <w:rFonts w:ascii="Arial" w:eastAsia="Times New Roman" w:hAnsi="Arial" w:cs="Arial"/>
          <w:sz w:val="15"/>
          <w:szCs w:val="15"/>
        </w:rPr>
        <w:t>Rateometric</w:t>
      </w:r>
      <w:proofErr w:type="spellEnd"/>
      <w:r w:rsidRPr="001F70F0">
        <w:rPr>
          <w:rFonts w:ascii="Arial" w:eastAsia="Times New Roman" w:hAnsi="Arial" w:cs="Arial"/>
          <w:sz w:val="15"/>
          <w:szCs w:val="15"/>
        </w:rPr>
        <w:t xml:space="preserve"> </w:t>
      </w:r>
      <w:proofErr w:type="spellStart"/>
      <w:r w:rsidRPr="001F70F0">
        <w:rPr>
          <w:rFonts w:ascii="Arial" w:eastAsia="Times New Roman" w:hAnsi="Arial" w:cs="Arial"/>
          <w:sz w:val="15"/>
          <w:szCs w:val="15"/>
        </w:rPr>
        <w:t>Colorimetry</w:t>
      </w:r>
      <w:proofErr w:type="spellEnd"/>
      <w:r w:rsidRPr="001F70F0">
        <w:rPr>
          <w:rFonts w:ascii="Arial" w:eastAsia="Times New Roman" w:hAnsi="Arial" w:cs="Arial"/>
          <w:sz w:val="15"/>
          <w:szCs w:val="15"/>
        </w:rPr>
        <w:t xml:space="preserve"> (Approved June 1, 2006),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(101) ASTM D240-02 (Reapproved 2007), Standard Test Method for Heat of Combustion of Liquid Hydrocarbon Fuels by Bomb Calorimeter, (Approved May 1, 2007),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(102) ASTM D1826-94 (Reapproved 2003), Standard Test Method for Calorific (Heating) Value of Gases in Natural Gas Range by Continuous Recording Calorimeter, (Approved May 10, 2003), IBR approved for § 60.107a(d).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(103) ASTM D1946-90 (Reapproved 2006), Standard Method for Analysis of Reformed Gas by Gas Chromatography, (Approved June 1, 2006),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(104) ASTM D4809-06, Standard Test Method for Heat of Combustion of Liquid Hydrocarbon Fuels by Bomb Calorimeter (Precision Method), (Approved December 1, 2006), IBR approved for § 60.107a(d).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(105) ASTM UOP539-97, Refinery Gas Analysis by Gas Chromatography, (Copyright 1997),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(106) ASTM D3699-08, Standard Specification for </w:t>
      </w:r>
      <w:proofErr w:type="spellStart"/>
      <w:r w:rsidRPr="001F70F0">
        <w:rPr>
          <w:rFonts w:ascii="Arial" w:eastAsia="Times New Roman" w:hAnsi="Arial" w:cs="Arial"/>
          <w:sz w:val="15"/>
          <w:szCs w:val="15"/>
        </w:rPr>
        <w:t>Kerosine</w:t>
      </w:r>
      <w:proofErr w:type="spellEnd"/>
      <w:r w:rsidRPr="001F70F0">
        <w:rPr>
          <w:rFonts w:ascii="Arial" w:eastAsia="Times New Roman" w:hAnsi="Arial" w:cs="Arial"/>
          <w:sz w:val="15"/>
          <w:szCs w:val="15"/>
        </w:rPr>
        <w:t>, including Appendix X1, (Approved September 1, 2008), IBR approved for §§ 60.41b of subpart Db and 60.41c of subpart Dc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(107) ASTM D6751-11b, Standard Specification for Biodiesel Fuel Blend Stock (B100) for Middle Distillate Fuels, including Appendices X1 through X3, (Approved July 15, 2011), IBR approved for §§ 60.41b of subpart Db and 60.41c of subpart Dc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(108) ASTM D7467-10, Standard Specification for Diesel Fuel Oil, Biodiesel Blend (B6 to B20), including Appendices X1 through X3, (Approved August 1, 2010), IBR approved for §§ 60.41b of subpart Db and 60.41c of subpart Dc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The following material is available for purchase from the Association of Official Analytical Chemists, 1111 North 19th Street, Suite 210, Arlington, VA 22209.</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AOAC Method 9, Official Methods of Analysis of the Association of Official Analytical Chemists, 11th edition, 1970, pp. 11-12, IBR approved January 27, 1983 for §§ 60.204(b)(3), 60.214(b)(3), 60.224(b)(3), 60.234(b)(3).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(c) The following material is available for purchase from the American Petroleum Institute, 1220 L Street NW., </w:t>
      </w:r>
      <w:proofErr w:type="gramStart"/>
      <w:r w:rsidRPr="001F70F0">
        <w:rPr>
          <w:rFonts w:ascii="Arial" w:eastAsia="Times New Roman" w:hAnsi="Arial" w:cs="Arial"/>
          <w:sz w:val="15"/>
          <w:szCs w:val="15"/>
        </w:rPr>
        <w:t>Washington</w:t>
      </w:r>
      <w:proofErr w:type="gramEnd"/>
      <w:r w:rsidRPr="001F70F0">
        <w:rPr>
          <w:rFonts w:ascii="Arial" w:eastAsia="Times New Roman" w:hAnsi="Arial" w:cs="Arial"/>
          <w:sz w:val="15"/>
          <w:szCs w:val="15"/>
        </w:rPr>
        <w:t>, DC 20005.</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API Publication 2517, Evaporation Loss from External Floating Roof Tanks, Second Edition, February 1980, IBR approved January 27, 1983, for §§ 60.111(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60.111a(f), 60.111a(f)(1) and 60.116b(e)(2)(</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 American Petroleum Institute (API) Manual of Petroleum Measurement Standards, Chapter 22-Testing Protocol, Section 2-Differential Pressure Flow Measurement Devices, First Edition, August 2005, IBR approved for § 60.107a(d)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The following material is available for purchase from the Technical Association of the Pulp and Paper Industry (TAPPI), Dunwoody Park, Atlanta, GA 30341.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TAPPI Method T624 os-68, IBR approved January 27, 1983 for § 60.285(d</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(e) The following material is available for purchase from the Water Pollution Control Federation (WPCF), 2626 Pennsylvania Avenue NW., </w:t>
      </w:r>
      <w:proofErr w:type="gramStart"/>
      <w:r w:rsidRPr="001F70F0">
        <w:rPr>
          <w:rFonts w:ascii="Arial" w:eastAsia="Times New Roman" w:hAnsi="Arial" w:cs="Arial"/>
          <w:sz w:val="15"/>
          <w:szCs w:val="15"/>
        </w:rPr>
        <w:t>Washington</w:t>
      </w:r>
      <w:proofErr w:type="gramEnd"/>
      <w:r w:rsidRPr="001F70F0">
        <w:rPr>
          <w:rFonts w:ascii="Arial" w:eastAsia="Times New Roman" w:hAnsi="Arial" w:cs="Arial"/>
          <w:sz w:val="15"/>
          <w:szCs w:val="15"/>
        </w:rPr>
        <w:t>, DC 20037.</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Method 209A, Total Residue Dried at 103-105 °C, in Standard Methods for the Examination of Water and Wastewater, 15th Edition, 1980, IBR approved February 25, 1985 for § 60.683(b).</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(f) The following material is available for purchase from the following address: </w:t>
      </w:r>
      <w:proofErr w:type="spellStart"/>
      <w:r w:rsidRPr="001F70F0">
        <w:rPr>
          <w:rFonts w:ascii="Arial" w:eastAsia="Times New Roman" w:hAnsi="Arial" w:cs="Arial"/>
          <w:sz w:val="15"/>
          <w:szCs w:val="15"/>
        </w:rPr>
        <w:t>Underwriter's</w:t>
      </w:r>
      <w:proofErr w:type="spellEnd"/>
      <w:r w:rsidRPr="001F70F0">
        <w:rPr>
          <w:rFonts w:ascii="Arial" w:eastAsia="Times New Roman" w:hAnsi="Arial" w:cs="Arial"/>
          <w:sz w:val="15"/>
          <w:szCs w:val="15"/>
        </w:rPr>
        <w:t xml:space="preserve"> Laboratories, Inc. (UL), 333 </w:t>
      </w:r>
      <w:proofErr w:type="spellStart"/>
      <w:r w:rsidRPr="001F70F0">
        <w:rPr>
          <w:rFonts w:ascii="Arial" w:eastAsia="Times New Roman" w:hAnsi="Arial" w:cs="Arial"/>
          <w:sz w:val="15"/>
          <w:szCs w:val="15"/>
        </w:rPr>
        <w:t>Pfingsten</w:t>
      </w:r>
      <w:proofErr w:type="spellEnd"/>
      <w:r w:rsidRPr="001F70F0">
        <w:rPr>
          <w:rFonts w:ascii="Arial" w:eastAsia="Times New Roman" w:hAnsi="Arial" w:cs="Arial"/>
          <w:sz w:val="15"/>
          <w:szCs w:val="15"/>
        </w:rPr>
        <w:t xml:space="preserve"> Road, Northbrook, IL 60062.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UL 103, Sixth Edition revised as of September 3, 1986, Standard for Chimneys, Factory-built, Residential Type and Building Heating Appliance.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The following material is available for purchase from the following address: West Coast Lumber Inspection Bureau, 6980 SW. Barnes Road, Portland, OR 97223.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West Coast Lumber Standard Grading Rules No. 16, pages 5-21 and 90 and 91, September 3, 1970, revised 1984.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(h) The following material is available for purchase from the American Society of Mechanical Engineers (ASME), Three Park Avenue, New York, NY 10016-5990, Telephone (800) 843-2763, and are also available at the following Web site: </w:t>
      </w:r>
      <w:r w:rsidRPr="001F70F0">
        <w:rPr>
          <w:rFonts w:ascii="Arial" w:eastAsia="Times New Roman" w:hAnsi="Arial" w:cs="Arial"/>
          <w:i/>
          <w:iCs/>
          <w:sz w:val="15"/>
          <w:szCs w:val="15"/>
        </w:rPr>
        <w:t>http://</w:t>
      </w:r>
      <w:proofErr w:type="gramStart"/>
      <w:r w:rsidRPr="001F70F0">
        <w:rPr>
          <w:rFonts w:ascii="Arial" w:eastAsia="Times New Roman" w:hAnsi="Arial" w:cs="Arial"/>
          <w:i/>
          <w:iCs/>
          <w:sz w:val="15"/>
          <w:szCs w:val="15"/>
        </w:rPr>
        <w:t>www.asme.org</w:t>
      </w:r>
      <w:r w:rsidRPr="001F70F0">
        <w:rPr>
          <w:rFonts w:ascii="Arial" w:eastAsia="Times New Roman" w:hAnsi="Arial" w:cs="Arial"/>
          <w:sz w:val="15"/>
          <w:szCs w:val="15"/>
        </w:rPr>
        <w:t xml:space="preserve"> .</w:t>
      </w:r>
      <w:proofErr w:type="gramEnd"/>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 ASME QRO-1-1994, Standard for the Qualification and Certification of Resource Recovery Facility Operators, IBR approved for §§ 60.56a, </w:t>
      </w:r>
      <w:proofErr w:type="gramStart"/>
      <w:r w:rsidRPr="001F70F0">
        <w:rPr>
          <w:rFonts w:ascii="Arial" w:eastAsia="Times New Roman" w:hAnsi="Arial" w:cs="Arial"/>
          <w:sz w:val="15"/>
          <w:szCs w:val="15"/>
        </w:rPr>
        <w:t>60.54b(</w:t>
      </w:r>
      <w:proofErr w:type="gramEnd"/>
      <w:r w:rsidRPr="001F70F0">
        <w:rPr>
          <w:rFonts w:ascii="Arial" w:eastAsia="Times New Roman" w:hAnsi="Arial" w:cs="Arial"/>
          <w:sz w:val="15"/>
          <w:szCs w:val="15"/>
        </w:rPr>
        <w:t>a), 60.54b(b), 60.1185(a), 60.1185(c)(2), 60.1675(a), and 60.1675(c)(2).</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 ASME PTC 4.1-1964 (Reaffirmed 1991), Power Test Codes: Test Code for Steam Generating Units (with 1968 and 1969 Addenda), IBR approved for §§ 60.46b of subpart Db of this part, </w:t>
      </w:r>
      <w:proofErr w:type="gramStart"/>
      <w:r w:rsidRPr="001F70F0">
        <w:rPr>
          <w:rFonts w:ascii="Arial" w:eastAsia="Times New Roman" w:hAnsi="Arial" w:cs="Arial"/>
          <w:sz w:val="15"/>
          <w:szCs w:val="15"/>
        </w:rPr>
        <w:t>60.58a(</w:t>
      </w:r>
      <w:proofErr w:type="gramEnd"/>
      <w:r w:rsidRPr="001F70F0">
        <w:rPr>
          <w:rFonts w:ascii="Arial" w:eastAsia="Times New Roman" w:hAnsi="Arial" w:cs="Arial"/>
          <w:sz w:val="15"/>
          <w:szCs w:val="15"/>
        </w:rPr>
        <w:t>h)(6)(ii), 60.58b(</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)(6)(ii), 60.1320(a)(3) and 60.1810(a)(3).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ASME Interim Supplement 19.5 on Instruments and Apparatus: Application, Part II of Fluid Meters, 6th Edition (1971), IBR approved for §§ </w:t>
      </w:r>
      <w:proofErr w:type="gramStart"/>
      <w:r w:rsidRPr="001F70F0">
        <w:rPr>
          <w:rFonts w:ascii="Arial" w:eastAsia="Times New Roman" w:hAnsi="Arial" w:cs="Arial"/>
          <w:sz w:val="15"/>
          <w:szCs w:val="15"/>
        </w:rPr>
        <w:t>60.58a(</w:t>
      </w:r>
      <w:proofErr w:type="gramEnd"/>
      <w:r w:rsidRPr="001F70F0">
        <w:rPr>
          <w:rFonts w:ascii="Arial" w:eastAsia="Times New Roman" w:hAnsi="Arial" w:cs="Arial"/>
          <w:sz w:val="15"/>
          <w:szCs w:val="15"/>
        </w:rPr>
        <w:t>h)(6)(ii), 60.58b(</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)(6)(ii), 60.1320(a)4), and 60.1810(a)(4).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ANSI/ASME PTC 19.10-1981, Flue and Exhaust Gas Analyses [Part 10, Instruments and Apparatus], IBR approved for § 60.56c(b)(4), § 60.63(f)(2) and (f)(4), § 60.106(e)(2), §§ 60.104a(d)(3), (d)(5), (d)(6), (h)(3), (h)(4), (h)(5),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)(3),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)(4),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)(5), (j)(3), and (j)(4), § 60.105a(d)(4), (f)(2), (f)(4), (g)(2), and (g)(4), § 60.106a(a)(1)(iii), (a)(2)(iii), (a)(2)(v), (a)(2)(viii), (a)(3)(ii), and (a)(3)(v), and § 60.107a(a)(1)(ii), (a)(1)(iv), (a)(2)(ii), (c)(2), (c)(4), and (d)(2), tables 1 and 3 of subpart EEEE, tables 2 and 4 of subpart FFFF, table 2 of subpart JJJJ, §§ 60.4415(a)(2) and (a)(3), 60.2145(s)(1)(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and (ii), 60.2145(t)(1)(ii), 60.2145(t)(5)(</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60.2710(s)(1)(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and (ii), 60.2710(t)(1)(ii), 60.2710(t)(5)(</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60.2710(w)(3), 60.2730(q)(3), 60.4900(b)(4)(vii) and (viii), 60.4900(b)(5)(</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60.5220(b)(4)(vii) and (viii), 60.5220(b)(5)(</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tables 1 and 2 to subpart LLLL, and tables 2 and 3 to subpart MMMM.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ASME MFC-3M-2004, Measurement of Fluid Flow in Pipes Using Orifice, Nozzle, and Venturi,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ANSI/ASME MFC-4M-1986 (Reaffirmed 2008), Measurement of Gas Flow by Turbine Meters,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(7) ANSI/ASME-MFC-5M-1985 (Reaffirmed 2006), Measurement of Liquid Flow in Closed Conduits Using Transit-Time Ultrasonic </w:t>
      </w:r>
      <w:proofErr w:type="spellStart"/>
      <w:r w:rsidRPr="001F70F0">
        <w:rPr>
          <w:rFonts w:ascii="Arial" w:eastAsia="Times New Roman" w:hAnsi="Arial" w:cs="Arial"/>
          <w:sz w:val="15"/>
          <w:szCs w:val="15"/>
        </w:rPr>
        <w:t>Flowmeters</w:t>
      </w:r>
      <w:proofErr w:type="spellEnd"/>
      <w:r w:rsidRPr="001F70F0">
        <w:rPr>
          <w:rFonts w:ascii="Arial" w:eastAsia="Times New Roman" w:hAnsi="Arial" w:cs="Arial"/>
          <w:sz w:val="15"/>
          <w:szCs w:val="15"/>
        </w:rPr>
        <w:t>,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(8) ASME MFC-6M-1998 (Reaffirmed 2005), Measurement of Fluid Flow in Pipes Using Vortex </w:t>
      </w:r>
      <w:proofErr w:type="spellStart"/>
      <w:r w:rsidRPr="001F70F0">
        <w:rPr>
          <w:rFonts w:ascii="Arial" w:eastAsia="Times New Roman" w:hAnsi="Arial" w:cs="Arial"/>
          <w:sz w:val="15"/>
          <w:szCs w:val="15"/>
        </w:rPr>
        <w:t>Flowmeters</w:t>
      </w:r>
      <w:proofErr w:type="spellEnd"/>
      <w:r w:rsidRPr="001F70F0">
        <w:rPr>
          <w:rFonts w:ascii="Arial" w:eastAsia="Times New Roman" w:hAnsi="Arial" w:cs="Arial"/>
          <w:sz w:val="15"/>
          <w:szCs w:val="15"/>
        </w:rPr>
        <w:t>,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 ASME/ANSI MFC-7M-1987 (Reaffirmed 2006), Measurement of Gas Flow by Means of Critical Flow Venturi Nozzles,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 ASME/ANSI MFC-9M-1988 (Reaffirmed 2006), Measurement of Liquid Flow in Closed Conduits by Weighing Method,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(11) ASME MFC-11M-2006, Measurement of Fluid Flow by Means of </w:t>
      </w:r>
      <w:proofErr w:type="spellStart"/>
      <w:r w:rsidRPr="001F70F0">
        <w:rPr>
          <w:rFonts w:ascii="Arial" w:eastAsia="Times New Roman" w:hAnsi="Arial" w:cs="Arial"/>
          <w:sz w:val="15"/>
          <w:szCs w:val="15"/>
        </w:rPr>
        <w:t>Coriolis</w:t>
      </w:r>
      <w:proofErr w:type="spellEnd"/>
      <w:r w:rsidRPr="001F70F0">
        <w:rPr>
          <w:rFonts w:ascii="Arial" w:eastAsia="Times New Roman" w:hAnsi="Arial" w:cs="Arial"/>
          <w:sz w:val="15"/>
          <w:szCs w:val="15"/>
        </w:rPr>
        <w:t xml:space="preserve"> Mass </w:t>
      </w:r>
      <w:proofErr w:type="spellStart"/>
      <w:r w:rsidRPr="001F70F0">
        <w:rPr>
          <w:rFonts w:ascii="Arial" w:eastAsia="Times New Roman" w:hAnsi="Arial" w:cs="Arial"/>
          <w:sz w:val="15"/>
          <w:szCs w:val="15"/>
        </w:rPr>
        <w:t>Flowmeters</w:t>
      </w:r>
      <w:proofErr w:type="spellEnd"/>
      <w:r w:rsidRPr="001F70F0">
        <w:rPr>
          <w:rFonts w:ascii="Arial" w:eastAsia="Times New Roman" w:hAnsi="Arial" w:cs="Arial"/>
          <w:sz w:val="15"/>
          <w:szCs w:val="15"/>
        </w:rPr>
        <w:t xml:space="preserve">, IBR approved for § 60.107a(d)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(12) ASME MFC-14M-2003, Measurement of Fluid Flow Using Small Bore Precision Orifice Meters,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(13) ASME MFC-16-2007, Measurement of Liquid Flow in Closed Conduits with Electromagnetic </w:t>
      </w:r>
      <w:proofErr w:type="spellStart"/>
      <w:r w:rsidRPr="001F70F0">
        <w:rPr>
          <w:rFonts w:ascii="Arial" w:eastAsia="Times New Roman" w:hAnsi="Arial" w:cs="Arial"/>
          <w:sz w:val="15"/>
          <w:szCs w:val="15"/>
        </w:rPr>
        <w:t>Flowmeters</w:t>
      </w:r>
      <w:proofErr w:type="spellEnd"/>
      <w:r w:rsidRPr="001F70F0">
        <w:rPr>
          <w:rFonts w:ascii="Arial" w:eastAsia="Times New Roman" w:hAnsi="Arial" w:cs="Arial"/>
          <w:sz w:val="15"/>
          <w:szCs w:val="15"/>
        </w:rPr>
        <w:t>,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(14) ASME MFC-18M-2001, Measurement of Fluid Flow Using Variable Area Meters,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(15) ASME MFC-22-2007, Measurement of Liquid by Turbine </w:t>
      </w:r>
      <w:proofErr w:type="spellStart"/>
      <w:r w:rsidRPr="001F70F0">
        <w:rPr>
          <w:rFonts w:ascii="Arial" w:eastAsia="Times New Roman" w:hAnsi="Arial" w:cs="Arial"/>
          <w:sz w:val="15"/>
          <w:szCs w:val="15"/>
        </w:rPr>
        <w:t>Flowmeters</w:t>
      </w:r>
      <w:proofErr w:type="spellEnd"/>
      <w:r w:rsidRPr="001F70F0">
        <w:rPr>
          <w:rFonts w:ascii="Arial" w:eastAsia="Times New Roman" w:hAnsi="Arial" w:cs="Arial"/>
          <w:sz w:val="15"/>
          <w:szCs w:val="15"/>
        </w:rPr>
        <w:t>,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sidRPr="001F70F0">
        <w:rPr>
          <w:rFonts w:ascii="Arial" w:eastAsia="Times New Roman" w:hAnsi="Arial" w:cs="Arial"/>
          <w:sz w:val="15"/>
          <w:szCs w:val="15"/>
        </w:rPr>
        <w:t>NW.,</w:t>
      </w:r>
      <w:proofErr w:type="gramEnd"/>
      <w:r w:rsidRPr="001F70F0">
        <w:rPr>
          <w:rFonts w:ascii="Arial" w:eastAsia="Times New Roman" w:hAnsi="Arial" w:cs="Arial"/>
          <w:sz w:val="15"/>
          <w:szCs w:val="15"/>
        </w:rPr>
        <w:t xml:space="preserve"> Washington, DC 20036, and is incorporated by reference for appendix A to part 60, Method 29, Sections 9.2.3; 10.3; and 11.1.3.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1F70F0">
        <w:rPr>
          <w:rFonts w:ascii="Arial" w:eastAsia="Times New Roman" w:hAnsi="Arial" w:cs="Arial"/>
          <w:sz w:val="15"/>
          <w:szCs w:val="15"/>
        </w:rPr>
        <w:t>NW.,</w:t>
      </w:r>
      <w:proofErr w:type="gramEnd"/>
      <w:r w:rsidRPr="001F70F0">
        <w:rPr>
          <w:rFonts w:ascii="Arial" w:eastAsia="Times New Roman" w:hAnsi="Arial" w:cs="Arial"/>
          <w:sz w:val="15"/>
          <w:szCs w:val="15"/>
        </w:rPr>
        <w:t xml:space="preserve"> Washington, DC.</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 An Ounce of Prevention: Waste Reduction Strategies for Health Care Facilities. </w:t>
      </w:r>
      <w:proofErr w:type="gramStart"/>
      <w:r w:rsidRPr="001F70F0">
        <w:rPr>
          <w:rFonts w:ascii="Arial" w:eastAsia="Times New Roman" w:hAnsi="Arial" w:cs="Arial"/>
          <w:sz w:val="15"/>
          <w:szCs w:val="15"/>
        </w:rPr>
        <w:t>American Society for Health Care Environmental Services of the American Hospital Association.</w:t>
      </w:r>
      <w:proofErr w:type="gramEnd"/>
      <w:r w:rsidRPr="001F70F0">
        <w:rPr>
          <w:rFonts w:ascii="Arial" w:eastAsia="Times New Roman" w:hAnsi="Arial" w:cs="Arial"/>
          <w:sz w:val="15"/>
          <w:szCs w:val="15"/>
        </w:rPr>
        <w:t xml:space="preserve"> Chicago, Illinois. </w:t>
      </w:r>
      <w:proofErr w:type="gramStart"/>
      <w:r w:rsidRPr="001F70F0">
        <w:rPr>
          <w:rFonts w:ascii="Arial" w:eastAsia="Times New Roman" w:hAnsi="Arial" w:cs="Arial"/>
          <w:sz w:val="15"/>
          <w:szCs w:val="15"/>
        </w:rPr>
        <w:t>1993. AHA Catalog No. 057007.</w:t>
      </w:r>
      <w:proofErr w:type="gramEnd"/>
      <w:r w:rsidRPr="001F70F0">
        <w:rPr>
          <w:rFonts w:ascii="Arial" w:eastAsia="Times New Roman" w:hAnsi="Arial" w:cs="Arial"/>
          <w:sz w:val="15"/>
          <w:szCs w:val="15"/>
        </w:rPr>
        <w:t xml:space="preserve"> </w:t>
      </w:r>
      <w:proofErr w:type="gramStart"/>
      <w:r w:rsidRPr="001F70F0">
        <w:rPr>
          <w:rFonts w:ascii="Arial" w:eastAsia="Times New Roman" w:hAnsi="Arial" w:cs="Arial"/>
          <w:sz w:val="15"/>
          <w:szCs w:val="15"/>
        </w:rPr>
        <w:t>ISBN 0-87258-673-5.</w:t>
      </w:r>
      <w:proofErr w:type="gramEnd"/>
      <w:r w:rsidRPr="001F70F0">
        <w:rPr>
          <w:rFonts w:ascii="Arial" w:eastAsia="Times New Roman" w:hAnsi="Arial" w:cs="Arial"/>
          <w:sz w:val="15"/>
          <w:szCs w:val="15"/>
        </w:rPr>
        <w:t xml:space="preserve"> IBR approved for § 60.35e and § 60.55c.</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(l) 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1F70F0">
        <w:rPr>
          <w:rFonts w:ascii="Arial" w:eastAsia="Times New Roman" w:hAnsi="Arial" w:cs="Arial"/>
          <w:sz w:val="15"/>
          <w:szCs w:val="15"/>
        </w:rPr>
        <w:t>NW.,</w:t>
      </w:r>
      <w:proofErr w:type="gramEnd"/>
      <w:r w:rsidRPr="001F70F0">
        <w:rPr>
          <w:rFonts w:ascii="Arial" w:eastAsia="Times New Roman" w:hAnsi="Arial" w:cs="Arial"/>
          <w:sz w:val="15"/>
          <w:szCs w:val="15"/>
        </w:rPr>
        <w:t xml:space="preserve"> Washington, DC.</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 OMB Bulletin No. 93-17: Revised Statistical Definitions for Metropolitan Areas. Office of Management and Budget, June 30, 1993. </w:t>
      </w:r>
      <w:proofErr w:type="gramStart"/>
      <w:r w:rsidRPr="001F70F0">
        <w:rPr>
          <w:rFonts w:ascii="Arial" w:eastAsia="Times New Roman" w:hAnsi="Arial" w:cs="Arial"/>
          <w:sz w:val="15"/>
          <w:szCs w:val="15"/>
        </w:rPr>
        <w:t>NTIS No.</w:t>
      </w:r>
      <w:proofErr w:type="gramEnd"/>
      <w:r w:rsidRPr="001F70F0">
        <w:rPr>
          <w:rFonts w:ascii="Arial" w:eastAsia="Times New Roman" w:hAnsi="Arial" w:cs="Arial"/>
          <w:sz w:val="15"/>
          <w:szCs w:val="15"/>
        </w:rPr>
        <w:t xml:space="preserve"> </w:t>
      </w:r>
      <w:proofErr w:type="gramStart"/>
      <w:r w:rsidRPr="001F70F0">
        <w:rPr>
          <w:rFonts w:ascii="Arial" w:eastAsia="Times New Roman" w:hAnsi="Arial" w:cs="Arial"/>
          <w:sz w:val="15"/>
          <w:szCs w:val="15"/>
        </w:rPr>
        <w:t>PB 93-192-664.</w:t>
      </w:r>
      <w:proofErr w:type="gramEnd"/>
      <w:r w:rsidRPr="001F70F0">
        <w:rPr>
          <w:rFonts w:ascii="Arial" w:eastAsia="Times New Roman" w:hAnsi="Arial" w:cs="Arial"/>
          <w:sz w:val="15"/>
          <w:szCs w:val="15"/>
        </w:rPr>
        <w:t xml:space="preserve"> IBR approved for § 60.31e.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1F70F0">
        <w:rPr>
          <w:rFonts w:ascii="Arial" w:eastAsia="Times New Roman" w:hAnsi="Arial" w:cs="Arial"/>
          <w:sz w:val="15"/>
          <w:szCs w:val="15"/>
        </w:rPr>
        <w:t>NW.,</w:t>
      </w:r>
      <w:proofErr w:type="gramEnd"/>
      <w:r w:rsidRPr="001F70F0">
        <w:rPr>
          <w:rFonts w:ascii="Arial" w:eastAsia="Times New Roman" w:hAnsi="Arial" w:cs="Arial"/>
          <w:sz w:val="15"/>
          <w:szCs w:val="15"/>
        </w:rPr>
        <w:t xml:space="preserve"> Washington, DC 20460. You may inspect a copy at EPA's Air and Radiation Docket and Information Center, Room 3334, 1301 Constitution Ave., </w:t>
      </w:r>
      <w:proofErr w:type="gramStart"/>
      <w:r w:rsidRPr="001F70F0">
        <w:rPr>
          <w:rFonts w:ascii="Arial" w:eastAsia="Times New Roman" w:hAnsi="Arial" w:cs="Arial"/>
          <w:sz w:val="15"/>
          <w:szCs w:val="15"/>
        </w:rPr>
        <w:t>NW.,</w:t>
      </w:r>
      <w:proofErr w:type="gramEnd"/>
      <w:r w:rsidRPr="001F70F0">
        <w:rPr>
          <w:rFonts w:ascii="Arial" w:eastAsia="Times New Roman" w:hAnsi="Arial" w:cs="Arial"/>
          <w:sz w:val="15"/>
          <w:szCs w:val="15"/>
        </w:rPr>
        <w:t xml:space="preserve"> Washington, DC 20460.</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Gas Processors Association Standard 2377-86, Test for Hydrogen Sulfide and Carbon Dioxide in Natural Gas Using Length of Stain Tubes, 1986 Revision, IBR approved for §§ 60.105(b)(1)(iv), 60.107a(b)(1)(iv), 60.334(h)(1), 60.4360, and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 Gas Processors Association Standard 2172-09, Calculation of Gross Heating Value, Relative Density, Compressibility and Theoretical Hydrocarbon Liquid Content for Natural Gas Mixtures for Custody Transfer (2009), IBR approved for § 60.107a(d)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 Gas Processors Association Standard 2261-00, Analysis for Natural Gas and Similar Gaseous Mixtures by Gas Chromatography (2000), IBR approved for § 60.107a(d)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(n) This material is available for purchase from IHS Inc., 15 Inverness Way East, Englewood, CO 80112.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International Organization for Standards 8178-4: 1996(E), Reciprocating Internal Combustion Engines—Exhaust Emission Measurement—part 4: Test Cycles for Different Engine Applications, IBR approved for § 60.4241(b).</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(o) The following material is available from the U.S. Environmental Protection Agency, 1200 Pennsylvania Avenue, </w:t>
      </w:r>
      <w:proofErr w:type="gramStart"/>
      <w:r w:rsidRPr="001F70F0">
        <w:rPr>
          <w:rFonts w:ascii="Arial" w:eastAsia="Times New Roman" w:hAnsi="Arial" w:cs="Arial"/>
          <w:sz w:val="15"/>
          <w:szCs w:val="15"/>
        </w:rPr>
        <w:t>NW.,</w:t>
      </w:r>
      <w:proofErr w:type="gramEnd"/>
      <w:r w:rsidRPr="001F70F0">
        <w:rPr>
          <w:rFonts w:ascii="Arial" w:eastAsia="Times New Roman" w:hAnsi="Arial" w:cs="Arial"/>
          <w:sz w:val="15"/>
          <w:szCs w:val="15"/>
        </w:rPr>
        <w:t xml:space="preserve"> Washington, DC 20460, (202) 272-0167, </w:t>
      </w:r>
      <w:r w:rsidRPr="001F70F0">
        <w:rPr>
          <w:rFonts w:ascii="Arial" w:eastAsia="Times New Roman" w:hAnsi="Arial" w:cs="Arial"/>
          <w:i/>
          <w:iCs/>
          <w:sz w:val="15"/>
          <w:szCs w:val="15"/>
        </w:rPr>
        <w:t>http://www.epa.gov.</w:t>
      </w:r>
      <w:r w:rsidRPr="001F70F0">
        <w:rPr>
          <w:rFonts w:ascii="Arial" w:eastAsia="Times New Roman" w:hAnsi="Arial" w:cs="Arial"/>
          <w:sz w:val="15"/>
          <w:szCs w:val="15"/>
        </w:rPr>
        <w:t xml:space="preserve"> </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Office of Air Quality Planning and Standards (OAQPS) Fabric Filter Bag Leak Detection Guidance, EPA-454/R-98-015, September 1997, IBR approved for §§ 60.2145(r)(2), 60.2710(r)(2), 60.4905(b)(3)(</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)(B), and 60.5225(b)(3)(</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)(B).</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(p) The following American Gas Association material is available for purchase from the following address: ILI </w:t>
      </w:r>
      <w:proofErr w:type="spellStart"/>
      <w:r w:rsidRPr="001F70F0">
        <w:rPr>
          <w:rFonts w:ascii="Arial" w:eastAsia="Times New Roman" w:hAnsi="Arial" w:cs="Arial"/>
          <w:sz w:val="15"/>
          <w:szCs w:val="15"/>
        </w:rPr>
        <w:t>Infodisk</w:t>
      </w:r>
      <w:proofErr w:type="spellEnd"/>
      <w:r w:rsidRPr="001F70F0">
        <w:rPr>
          <w:rFonts w:ascii="Arial" w:eastAsia="Times New Roman" w:hAnsi="Arial" w:cs="Arial"/>
          <w:sz w:val="15"/>
          <w:szCs w:val="15"/>
        </w:rPr>
        <w:t xml:space="preserve">, 610 Winters Avenue, </w:t>
      </w:r>
      <w:proofErr w:type="gramStart"/>
      <w:r w:rsidRPr="001F70F0">
        <w:rPr>
          <w:rFonts w:ascii="Arial" w:eastAsia="Times New Roman" w:hAnsi="Arial" w:cs="Arial"/>
          <w:sz w:val="15"/>
          <w:szCs w:val="15"/>
        </w:rPr>
        <w:t>Paramus</w:t>
      </w:r>
      <w:proofErr w:type="gramEnd"/>
      <w:r w:rsidRPr="001F70F0">
        <w:rPr>
          <w:rFonts w:ascii="Arial" w:eastAsia="Times New Roman" w:hAnsi="Arial" w:cs="Arial"/>
          <w:sz w:val="15"/>
          <w:szCs w:val="15"/>
        </w:rPr>
        <w:t>, New Jersey 07652: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American Gas Association Report No. 3: Orifice Metering for Natural Gas and Other Related Hydrocarbon Fluids, Part 1: General Equations and Uncertainty Guidelines (1990),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American Gas Association Report No. 3: Orifice Metering for Natural Gas and Other Related Hydrocarbon Fluids, Part 2: Specification and Installation Requirements (2000),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 American Gas Association Report No. 11: Measurement of Natural Gas by </w:t>
      </w:r>
      <w:proofErr w:type="spellStart"/>
      <w:r w:rsidRPr="001F70F0">
        <w:rPr>
          <w:rFonts w:ascii="Arial" w:eastAsia="Times New Roman" w:hAnsi="Arial" w:cs="Arial"/>
          <w:sz w:val="15"/>
          <w:szCs w:val="15"/>
        </w:rPr>
        <w:t>Coriolis</w:t>
      </w:r>
      <w:proofErr w:type="spellEnd"/>
      <w:r w:rsidRPr="001F70F0">
        <w:rPr>
          <w:rFonts w:ascii="Arial" w:eastAsia="Times New Roman" w:hAnsi="Arial" w:cs="Arial"/>
          <w:sz w:val="15"/>
          <w:szCs w:val="15"/>
        </w:rPr>
        <w:t xml:space="preserve"> Meter (2003),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American Gas Association Transmission Measurement Committee Report No. 7: Measurement of Gas by Turbine Meters (Revised February 2006),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(q) The following material is available for purchase from the International Standards Organization (ISO), 1, </w:t>
      </w:r>
      <w:proofErr w:type="spellStart"/>
      <w:r w:rsidRPr="001F70F0">
        <w:rPr>
          <w:rFonts w:ascii="Arial" w:eastAsia="Times New Roman" w:hAnsi="Arial" w:cs="Arial"/>
          <w:sz w:val="15"/>
          <w:szCs w:val="15"/>
        </w:rPr>
        <w:t>ch</w:t>
      </w:r>
      <w:proofErr w:type="spellEnd"/>
      <w:r w:rsidRPr="001F70F0">
        <w:rPr>
          <w:rFonts w:ascii="Arial" w:eastAsia="Times New Roman" w:hAnsi="Arial" w:cs="Arial"/>
          <w:sz w:val="15"/>
          <w:szCs w:val="15"/>
        </w:rPr>
        <w:t xml:space="preserve">. de la </w:t>
      </w:r>
      <w:proofErr w:type="spellStart"/>
      <w:r w:rsidRPr="001F70F0">
        <w:rPr>
          <w:rFonts w:ascii="Arial" w:eastAsia="Times New Roman" w:hAnsi="Arial" w:cs="Arial"/>
          <w:sz w:val="15"/>
          <w:szCs w:val="15"/>
        </w:rPr>
        <w:t>Voie-Creuse</w:t>
      </w:r>
      <w:proofErr w:type="spellEnd"/>
      <w:r w:rsidRPr="001F70F0">
        <w:rPr>
          <w:rFonts w:ascii="Arial" w:eastAsia="Times New Roman" w:hAnsi="Arial" w:cs="Arial"/>
          <w:sz w:val="15"/>
          <w:szCs w:val="15"/>
        </w:rPr>
        <w:t xml:space="preserve">, Case </w:t>
      </w:r>
      <w:proofErr w:type="spellStart"/>
      <w:r w:rsidRPr="001F70F0">
        <w:rPr>
          <w:rFonts w:ascii="Arial" w:eastAsia="Times New Roman" w:hAnsi="Arial" w:cs="Arial"/>
          <w:sz w:val="15"/>
          <w:szCs w:val="15"/>
        </w:rPr>
        <w:t>postale</w:t>
      </w:r>
      <w:proofErr w:type="spellEnd"/>
      <w:r w:rsidRPr="001F70F0">
        <w:rPr>
          <w:rFonts w:ascii="Arial" w:eastAsia="Times New Roman" w:hAnsi="Arial" w:cs="Arial"/>
          <w:sz w:val="15"/>
          <w:szCs w:val="15"/>
        </w:rPr>
        <w:t xml:space="preserve"> 56, CH-1211 Geneva 20, Switzerland, +41 22 749 01 11, </w:t>
      </w:r>
      <w:r w:rsidRPr="001F70F0">
        <w:rPr>
          <w:rFonts w:ascii="Arial" w:eastAsia="Times New Roman" w:hAnsi="Arial" w:cs="Arial"/>
          <w:i/>
          <w:iCs/>
          <w:sz w:val="15"/>
          <w:szCs w:val="15"/>
        </w:rPr>
        <w:t>http://www.iso.org/iso/home.htm</w:t>
      </w:r>
      <w:r w:rsidRPr="001F70F0">
        <w:rPr>
          <w:rFonts w:ascii="Arial" w:eastAsia="Times New Roman" w:hAnsi="Arial" w:cs="Arial"/>
          <w:sz w:val="15"/>
          <w:szCs w:val="15"/>
        </w:rPr>
        <w:t xml:space="preserve"> .</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ISO 8316: Measurement of Liquid Flow in Closed Conduits—Method by Collection of the Liquid in a Volumetric Tank (1987-10-01)—First Edition, IBR approved for § </w:t>
      </w:r>
      <w:proofErr w:type="gramStart"/>
      <w:r w:rsidRPr="001F70F0">
        <w:rPr>
          <w:rFonts w:ascii="Arial" w:eastAsia="Times New Roman" w:hAnsi="Arial" w:cs="Arial"/>
          <w:sz w:val="15"/>
          <w:szCs w:val="15"/>
        </w:rPr>
        <w:t>60.107a(</w:t>
      </w:r>
      <w:proofErr w:type="gramEnd"/>
      <w:r w:rsidRPr="001F70F0">
        <w:rPr>
          <w:rFonts w:ascii="Arial" w:eastAsia="Times New Roman" w:hAnsi="Arial" w:cs="Arial"/>
          <w:sz w:val="15"/>
          <w:szCs w:val="15"/>
        </w:rPr>
        <w:t xml:space="preserve">d) of subpart </w:t>
      </w:r>
      <w:proofErr w:type="spellStart"/>
      <w:r w:rsidRPr="001F70F0">
        <w:rPr>
          <w:rFonts w:ascii="Arial" w:eastAsia="Times New Roman" w:hAnsi="Arial" w:cs="Arial"/>
          <w:sz w:val="15"/>
          <w:szCs w:val="15"/>
        </w:rPr>
        <w:t>Ja</w:t>
      </w:r>
      <w:proofErr w:type="spellEnd"/>
      <w:r w:rsidRPr="001F70F0">
        <w:rPr>
          <w:rFonts w:ascii="Arial" w:eastAsia="Times New Roman" w:hAnsi="Arial" w:cs="Arial"/>
          <w:sz w:val="15"/>
          <w:szCs w:val="15"/>
        </w:rPr>
        <w:t xml:space="preserve">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(r) The following material is available from the North American Electric Reliability Corporation, 3353 Peachtree Road NE., Suite 600, North Tower, Atlanta, GA 30326, </w:t>
      </w:r>
      <w:r w:rsidRPr="001F70F0">
        <w:rPr>
          <w:rFonts w:ascii="Arial" w:eastAsia="Times New Roman" w:hAnsi="Arial" w:cs="Arial"/>
          <w:i/>
          <w:iCs/>
          <w:sz w:val="15"/>
          <w:szCs w:val="15"/>
        </w:rPr>
        <w:t>http://</w:t>
      </w:r>
      <w:proofErr w:type="gramStart"/>
      <w:r w:rsidRPr="001F70F0">
        <w:rPr>
          <w:rFonts w:ascii="Arial" w:eastAsia="Times New Roman" w:hAnsi="Arial" w:cs="Arial"/>
          <w:i/>
          <w:iCs/>
          <w:sz w:val="15"/>
          <w:szCs w:val="15"/>
        </w:rPr>
        <w:t>www.nerc.com</w:t>
      </w:r>
      <w:r w:rsidRPr="001F70F0">
        <w:rPr>
          <w:rFonts w:ascii="Arial" w:eastAsia="Times New Roman" w:hAnsi="Arial" w:cs="Arial"/>
          <w:sz w:val="15"/>
          <w:szCs w:val="15"/>
        </w:rPr>
        <w:t xml:space="preserve"> ,</w:t>
      </w:r>
      <w:proofErr w:type="gramEnd"/>
      <w:r w:rsidRPr="001F70F0">
        <w:rPr>
          <w:rFonts w:ascii="Arial" w:eastAsia="Times New Roman" w:hAnsi="Arial" w:cs="Arial"/>
          <w:sz w:val="15"/>
          <w:szCs w:val="15"/>
        </w:rPr>
        <w:t xml:space="preserve"> and is available at the following Web site: </w:t>
      </w:r>
      <w:r w:rsidRPr="001F70F0">
        <w:rPr>
          <w:rFonts w:ascii="Arial" w:eastAsia="Times New Roman" w:hAnsi="Arial" w:cs="Arial"/>
          <w:i/>
          <w:iCs/>
          <w:sz w:val="15"/>
          <w:szCs w:val="15"/>
        </w:rPr>
        <w:t>http://www.nerc.com/files/EOP-002-3_1.pdf</w:t>
      </w:r>
      <w:r w:rsidRPr="001F70F0">
        <w:rPr>
          <w:rFonts w:ascii="Arial" w:eastAsia="Times New Roman" w:hAnsi="Arial" w:cs="Arial"/>
          <w:sz w:val="15"/>
          <w:szCs w:val="15"/>
        </w:rPr>
        <w:t xml:space="preserve"> .</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North American Electric Reliability Corporation, Reliability Standards for the Bulk of Electric Systems of North America, Reliability Standard EOP-002-3, Capacity and Energy Emergencies, updated November 19, 2012, IBR approved for §§ 60.4211(f) and 60.4243(d).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[48 FR 3735, Jan. 27, 1983]</w:t>
      </w:r>
    </w:p>
    <w:p w:rsidR="001F70F0" w:rsidRPr="001F70F0" w:rsidRDefault="001F70F0" w:rsidP="00335A5D">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Editorial Note:</w:t>
      </w:r>
      <w:r w:rsidRPr="001F70F0">
        <w:rPr>
          <w:rFonts w:ascii="Arial" w:eastAsia="Times New Roman" w:hAnsi="Arial" w:cs="Arial"/>
          <w:sz w:val="14"/>
          <w:szCs w:val="14"/>
        </w:rPr>
        <w:t xml:space="preserve"> For </w:t>
      </w:r>
      <w:r w:rsidRPr="001F70F0">
        <w:rPr>
          <w:rFonts w:ascii="Arial" w:eastAsia="Times New Roman" w:hAnsi="Arial" w:cs="Arial"/>
          <w:smallCaps/>
          <w:sz w:val="14"/>
          <w:szCs w:val="14"/>
        </w:rPr>
        <w:t>Federal Register</w:t>
      </w:r>
      <w:r w:rsidRPr="001F70F0">
        <w:rPr>
          <w:rFonts w:ascii="Arial" w:eastAsia="Times New Roman" w:hAnsi="Arial" w:cs="Arial"/>
          <w:sz w:val="14"/>
          <w:szCs w:val="14"/>
        </w:rPr>
        <w:t xml:space="preserve"> citations affecting § 60.17, see the List of CFR Sections Affected, which appears in the Finding Aids section of the printed volume and at </w:t>
      </w:r>
      <w:proofErr w:type="gramStart"/>
      <w:r w:rsidRPr="001F70F0">
        <w:rPr>
          <w:rFonts w:ascii="Arial" w:eastAsia="Times New Roman" w:hAnsi="Arial" w:cs="Arial"/>
          <w:i/>
          <w:iCs/>
          <w:sz w:val="14"/>
          <w:szCs w:val="14"/>
        </w:rPr>
        <w:t>www.fdsys.gov</w:t>
      </w:r>
      <w:r w:rsidRPr="001F70F0">
        <w:rPr>
          <w:rFonts w:ascii="Arial" w:eastAsia="Times New Roman" w:hAnsi="Arial" w:cs="Arial"/>
          <w:sz w:val="14"/>
          <w:szCs w:val="14"/>
        </w:rPr>
        <w:t xml:space="preserve"> .</w:t>
      </w:r>
      <w:proofErr w:type="gramEnd"/>
      <w:r w:rsidRPr="001F70F0">
        <w:rPr>
          <w:rFonts w:ascii="Arial" w:eastAsia="Times New Roman" w:hAnsi="Arial" w:cs="Arial"/>
          <w:sz w:val="14"/>
          <w:szCs w:val="14"/>
        </w:rPr>
        <w:t xml:space="preserve"> </w:t>
      </w:r>
    </w:p>
    <w:p w:rsidR="001F70F0" w:rsidRPr="001F70F0" w:rsidRDefault="001F70F0" w:rsidP="00335A5D">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Editorial Note:</w:t>
      </w:r>
      <w:r w:rsidRPr="001F70F0">
        <w:rPr>
          <w:rFonts w:ascii="Arial" w:eastAsia="Times New Roman" w:hAnsi="Arial" w:cs="Arial"/>
          <w:sz w:val="14"/>
          <w:szCs w:val="14"/>
        </w:rPr>
        <w:t xml:space="preserve"> At 77 FR 9446, Feb. 16, 2012, § 60.17 was amended; however, the amendment could not be incorporated because paragraph (a</w:t>
      </w:r>
      <w:proofErr w:type="gramStart"/>
      <w:r w:rsidRPr="001F70F0">
        <w:rPr>
          <w:rFonts w:ascii="Arial" w:eastAsia="Times New Roman" w:hAnsi="Arial" w:cs="Arial"/>
          <w:sz w:val="14"/>
          <w:szCs w:val="14"/>
        </w:rPr>
        <w:t>)(</w:t>
      </w:r>
      <w:proofErr w:type="gramEnd"/>
      <w:r w:rsidRPr="001F70F0">
        <w:rPr>
          <w:rFonts w:ascii="Arial" w:eastAsia="Times New Roman" w:hAnsi="Arial" w:cs="Arial"/>
          <w:sz w:val="14"/>
          <w:szCs w:val="14"/>
        </w:rPr>
        <w:t xml:space="preserve">94) already existed. </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8" w:name="40:7.0.1.1.1.1.151.18"/>
      <w:bookmarkEnd w:id="18"/>
      <w:r w:rsidRPr="001F70F0">
        <w:rPr>
          <w:rFonts w:ascii="Arial" w:eastAsia="Times New Roman" w:hAnsi="Arial" w:cs="Arial"/>
          <w:b/>
          <w:bCs/>
          <w:sz w:val="15"/>
          <w:szCs w:val="15"/>
        </w:rPr>
        <w:t>§ 60.18   General control device and work practice requirements.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(a) </w:t>
      </w:r>
      <w:r w:rsidRPr="001F70F0">
        <w:rPr>
          <w:rFonts w:ascii="Arial" w:eastAsia="Times New Roman" w:hAnsi="Arial" w:cs="Arial"/>
          <w:i/>
          <w:iCs/>
          <w:sz w:val="15"/>
          <w:szCs w:val="15"/>
        </w:rPr>
        <w:t>Introduction.</w:t>
      </w:r>
      <w:r w:rsidRPr="001F70F0">
        <w:rPr>
          <w:rFonts w:ascii="Arial" w:eastAsia="Times New Roman" w:hAnsi="Arial" w:cs="Arial"/>
          <w:sz w:val="15"/>
          <w:szCs w:val="15"/>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(b) </w:t>
      </w:r>
      <w:r w:rsidRPr="001F70F0">
        <w:rPr>
          <w:rFonts w:ascii="Arial" w:eastAsia="Times New Roman" w:hAnsi="Arial" w:cs="Arial"/>
          <w:i/>
          <w:iCs/>
          <w:sz w:val="15"/>
          <w:szCs w:val="15"/>
        </w:rPr>
        <w:t>Flares.</w:t>
      </w:r>
      <w:r w:rsidRPr="001F70F0">
        <w:rPr>
          <w:rFonts w:ascii="Arial" w:eastAsia="Times New Roman" w:hAnsi="Arial" w:cs="Arial"/>
          <w:sz w:val="15"/>
          <w:szCs w:val="15"/>
        </w:rPr>
        <w:t xml:space="preserve"> Paragraphs (c) through (f) apply to flares.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(c)(1) Flares shall be designed for and operated with no visible emissions as determined by the methods specified in paragraph (f), except for periods not to exceed a total of 5 minutes during any 2 consecutive hours.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Flares shall be operated with a flame present at all times, as determined by the methods specified in paragraph (f).</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An owner/operator has the choice of adhering to either the heat content specifications in paragraph (c</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3)(ii) of this section and the maximum tip velocity specifications in paragraph (c)(4) of this section, or adhering to the requirements in paragraph (c)(3)(</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proofErr w:type="gramStart"/>
      <w:r w:rsidRPr="001F70F0">
        <w:rPr>
          <w:rFonts w:ascii="Arial" w:eastAsia="Times New Roman" w:hAnsi="Arial" w:cs="Arial"/>
          <w:sz w:val="15"/>
          <w:szCs w:val="15"/>
        </w:rPr>
        <w:t>i</w:t>
      </w:r>
      <w:proofErr w:type="spellEnd"/>
      <w:proofErr w:type="gramEnd"/>
      <w:r w:rsidRPr="001F70F0">
        <w:rPr>
          <w:rFonts w:ascii="Arial" w:eastAsia="Times New Roman" w:hAnsi="Arial" w:cs="Arial"/>
          <w:sz w:val="15"/>
          <w:szCs w:val="15"/>
        </w:rPr>
        <w:t xml:space="preserve">)(A) Flares shall be used that have a diameter of 3 inches or greater, are </w:t>
      </w:r>
      <w:proofErr w:type="spellStart"/>
      <w:r w:rsidRPr="001F70F0">
        <w:rPr>
          <w:rFonts w:ascii="Arial" w:eastAsia="Times New Roman" w:hAnsi="Arial" w:cs="Arial"/>
          <w:sz w:val="15"/>
          <w:szCs w:val="15"/>
        </w:rPr>
        <w:t>nonassisted</w:t>
      </w:r>
      <w:proofErr w:type="spellEnd"/>
      <w:r w:rsidRPr="001F70F0">
        <w:rPr>
          <w:rFonts w:ascii="Arial" w:eastAsia="Times New Roman" w:hAnsi="Arial" w:cs="Arial"/>
          <w:sz w:val="15"/>
          <w:szCs w:val="15"/>
        </w:rPr>
        <w:t xml:space="preserve">, have a hydrogen content of 8.0 percent (by volume), or greater, and are designed for and operated with an exit velocity less than 37.2 m/sec (122 ft/sec) and less than the velocity, </w:t>
      </w:r>
      <w:proofErr w:type="spellStart"/>
      <w:r w:rsidRPr="001F70F0">
        <w:rPr>
          <w:rFonts w:ascii="Arial" w:eastAsia="Times New Roman" w:hAnsi="Arial" w:cs="Arial"/>
          <w:sz w:val="15"/>
          <w:szCs w:val="15"/>
        </w:rPr>
        <w:t>V</w:t>
      </w:r>
      <w:r w:rsidRPr="001F70F0">
        <w:rPr>
          <w:rFonts w:ascii="Arial" w:eastAsia="Times New Roman" w:hAnsi="Arial" w:cs="Arial"/>
          <w:sz w:val="11"/>
          <w:szCs w:val="11"/>
          <w:vertAlign w:val="subscript"/>
        </w:rPr>
        <w:t>max</w:t>
      </w:r>
      <w:proofErr w:type="spellEnd"/>
      <w:r w:rsidRPr="001F70F0">
        <w:rPr>
          <w:rFonts w:ascii="Arial" w:eastAsia="Times New Roman" w:hAnsi="Arial" w:cs="Arial"/>
          <w:sz w:val="15"/>
          <w:szCs w:val="15"/>
        </w:rPr>
        <w:t xml:space="preserve"> , as determined by the following equation:</w:t>
      </w:r>
    </w:p>
    <w:p w:rsidR="001F70F0" w:rsidRPr="001F70F0" w:rsidRDefault="001F70F0" w:rsidP="00335A5D">
      <w:pPr>
        <w:spacing w:before="200" w:after="100" w:line="240" w:lineRule="auto"/>
        <w:ind w:left="960" w:hanging="960"/>
        <w:rPr>
          <w:rFonts w:ascii="Arial" w:eastAsia="Times New Roman" w:hAnsi="Arial" w:cs="Arial"/>
          <w:sz w:val="15"/>
          <w:szCs w:val="15"/>
        </w:rPr>
      </w:pPr>
      <w:proofErr w:type="spellStart"/>
      <w:r w:rsidRPr="001F70F0">
        <w:rPr>
          <w:rFonts w:ascii="Arial" w:eastAsia="Times New Roman" w:hAnsi="Arial" w:cs="Arial"/>
          <w:sz w:val="15"/>
          <w:szCs w:val="15"/>
        </w:rPr>
        <w:t>V</w:t>
      </w:r>
      <w:r w:rsidRPr="001F70F0">
        <w:rPr>
          <w:rFonts w:ascii="Arial" w:eastAsia="Times New Roman" w:hAnsi="Arial" w:cs="Arial"/>
          <w:sz w:val="11"/>
          <w:szCs w:val="11"/>
          <w:vertAlign w:val="subscript"/>
        </w:rPr>
        <w:t>max</w:t>
      </w:r>
      <w:proofErr w:type="spellEnd"/>
      <w:r w:rsidRPr="001F70F0">
        <w:rPr>
          <w:rFonts w:ascii="Arial" w:eastAsia="Times New Roman" w:hAnsi="Arial" w:cs="Arial"/>
          <w:sz w:val="15"/>
          <w:szCs w:val="15"/>
        </w:rPr>
        <w:t xml:space="preserve"> </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X</w:t>
      </w:r>
      <w:r w:rsidRPr="001F70F0">
        <w:rPr>
          <w:rFonts w:ascii="Arial" w:eastAsia="Times New Roman" w:hAnsi="Arial" w:cs="Arial"/>
          <w:sz w:val="11"/>
          <w:szCs w:val="11"/>
          <w:vertAlign w:val="subscript"/>
        </w:rPr>
        <w:t>H2</w:t>
      </w:r>
      <w:r w:rsidRPr="001F70F0">
        <w:rPr>
          <w:rFonts w:ascii="Arial" w:eastAsia="Times New Roman" w:hAnsi="Arial" w:cs="Arial"/>
          <w:sz w:val="15"/>
          <w:szCs w:val="15"/>
        </w:rPr>
        <w:t xml:space="preserve"> −K</w:t>
      </w:r>
      <w:r w:rsidRPr="001F70F0">
        <w:rPr>
          <w:rFonts w:ascii="Arial" w:eastAsia="Times New Roman" w:hAnsi="Arial" w:cs="Arial"/>
          <w:sz w:val="11"/>
          <w:szCs w:val="11"/>
          <w:vertAlign w:val="subscript"/>
        </w:rPr>
        <w:t>1</w:t>
      </w:r>
      <w:r w:rsidRPr="001F70F0">
        <w:rPr>
          <w:rFonts w:ascii="Arial" w:eastAsia="Times New Roman" w:hAnsi="Arial" w:cs="Arial"/>
          <w:sz w:val="15"/>
          <w:szCs w:val="15"/>
        </w:rPr>
        <w:t xml:space="preserve"> )* K</w:t>
      </w:r>
      <w:r w:rsidRPr="001F70F0">
        <w:rPr>
          <w:rFonts w:ascii="Arial" w:eastAsia="Times New Roman" w:hAnsi="Arial" w:cs="Arial"/>
          <w:sz w:val="11"/>
          <w:szCs w:val="11"/>
          <w:vertAlign w:val="subscript"/>
        </w:rPr>
        <w:t>2</w:t>
      </w:r>
      <w:r w:rsidRPr="001F70F0">
        <w:rPr>
          <w:rFonts w:ascii="Arial" w:eastAsia="Times New Roman" w:hAnsi="Arial" w:cs="Arial"/>
          <w:sz w:val="15"/>
          <w:szCs w:val="15"/>
        </w:rPr>
        <w:t xml:space="preserve"> </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Where:</w:t>
      </w:r>
    </w:p>
    <w:p w:rsidR="001F70F0" w:rsidRPr="001F70F0" w:rsidRDefault="001F70F0" w:rsidP="00335A5D">
      <w:pPr>
        <w:spacing w:before="200" w:after="100" w:line="240" w:lineRule="auto"/>
        <w:ind w:left="960" w:hanging="960"/>
        <w:rPr>
          <w:rFonts w:ascii="Arial" w:eastAsia="Times New Roman" w:hAnsi="Arial" w:cs="Arial"/>
          <w:sz w:val="14"/>
          <w:szCs w:val="14"/>
        </w:rPr>
      </w:pPr>
      <w:proofErr w:type="spellStart"/>
      <w:r w:rsidRPr="001F70F0">
        <w:rPr>
          <w:rFonts w:ascii="Arial" w:eastAsia="Times New Roman" w:hAnsi="Arial" w:cs="Arial"/>
          <w:sz w:val="14"/>
          <w:szCs w:val="14"/>
        </w:rPr>
        <w:t>V</w:t>
      </w:r>
      <w:r w:rsidRPr="001F70F0">
        <w:rPr>
          <w:rFonts w:ascii="Arial" w:eastAsia="Times New Roman" w:hAnsi="Arial" w:cs="Arial"/>
          <w:sz w:val="10"/>
          <w:szCs w:val="10"/>
          <w:vertAlign w:val="subscript"/>
        </w:rPr>
        <w:t>max</w:t>
      </w:r>
      <w:proofErr w:type="spellEnd"/>
      <w:r w:rsidRPr="001F70F0">
        <w:rPr>
          <w:rFonts w:ascii="Arial" w:eastAsia="Times New Roman" w:hAnsi="Arial" w:cs="Arial"/>
          <w:sz w:val="14"/>
          <w:szCs w:val="14"/>
        </w:rPr>
        <w:t xml:space="preserve"> =Maximum permitted velocity, m/sec.</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K</w:t>
      </w:r>
      <w:r w:rsidRPr="001F70F0">
        <w:rPr>
          <w:rFonts w:ascii="Arial" w:eastAsia="Times New Roman" w:hAnsi="Arial" w:cs="Arial"/>
          <w:sz w:val="10"/>
          <w:szCs w:val="10"/>
          <w:vertAlign w:val="subscript"/>
        </w:rPr>
        <w:t>1</w:t>
      </w:r>
      <w:r w:rsidRPr="001F70F0">
        <w:rPr>
          <w:rFonts w:ascii="Arial" w:eastAsia="Times New Roman" w:hAnsi="Arial" w:cs="Arial"/>
          <w:sz w:val="14"/>
          <w:szCs w:val="14"/>
        </w:rPr>
        <w:t xml:space="preserve"> =Constant, 6.0 volume-percent hydrogen.</w:t>
      </w:r>
    </w:p>
    <w:p w:rsidR="00335A5D"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K</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=Constant, 3.9(m/sec)/volume-percent hydrogen.</w:t>
      </w:r>
    </w:p>
    <w:p w:rsidR="00335A5D" w:rsidRDefault="00335A5D">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335A5D">
      <w:pPr>
        <w:spacing w:before="200" w:after="100" w:line="240" w:lineRule="auto"/>
        <w:ind w:left="960" w:hanging="960"/>
        <w:rPr>
          <w:rFonts w:ascii="Arial" w:eastAsia="Times New Roman" w:hAnsi="Arial" w:cs="Arial"/>
          <w:sz w:val="14"/>
          <w:szCs w:val="14"/>
        </w:rPr>
      </w:pP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X</w:t>
      </w:r>
      <w:r w:rsidRPr="001F70F0">
        <w:rPr>
          <w:rFonts w:ascii="Arial" w:eastAsia="Times New Roman" w:hAnsi="Arial" w:cs="Arial"/>
          <w:sz w:val="10"/>
          <w:szCs w:val="10"/>
          <w:vertAlign w:val="subscript"/>
        </w:rPr>
        <w:t>H2</w:t>
      </w:r>
      <w:r w:rsidRPr="001F70F0">
        <w:rPr>
          <w:rFonts w:ascii="Arial" w:eastAsia="Times New Roman" w:hAnsi="Arial" w:cs="Arial"/>
          <w:sz w:val="14"/>
          <w:szCs w:val="14"/>
        </w:rPr>
        <w:t xml:space="preserve"> =</w:t>
      </w:r>
      <w:proofErr w:type="gramStart"/>
      <w:r w:rsidRPr="001F70F0">
        <w:rPr>
          <w:rFonts w:ascii="Arial" w:eastAsia="Times New Roman" w:hAnsi="Arial" w:cs="Arial"/>
          <w:sz w:val="14"/>
          <w:szCs w:val="14"/>
        </w:rPr>
        <w:t>The</w:t>
      </w:r>
      <w:proofErr w:type="gramEnd"/>
      <w:r w:rsidRPr="001F70F0">
        <w:rPr>
          <w:rFonts w:ascii="Arial" w:eastAsia="Times New Roman" w:hAnsi="Arial" w:cs="Arial"/>
          <w:sz w:val="14"/>
          <w:szCs w:val="14"/>
        </w:rPr>
        <w:t xml:space="preserve"> volume-percent of hydrogen, on a wet basis, as calculated by using the American Society for Testing and Materials (ASTM) Method D1946-77. (Incorporated by reference as specified in § 60.17).</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The actual exit velocity of a flare shall be determined by the method specified in paragraph (f</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4)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Flares shall be used only with the net heating value of the gas being combusted being 11.2 MJ/</w:t>
      </w:r>
      <w:proofErr w:type="spellStart"/>
      <w:r w:rsidRPr="001F70F0">
        <w:rPr>
          <w:rFonts w:ascii="Arial" w:eastAsia="Times New Roman" w:hAnsi="Arial" w:cs="Arial"/>
          <w:sz w:val="15"/>
          <w:szCs w:val="15"/>
        </w:rPr>
        <w:t>scm</w:t>
      </w:r>
      <w:proofErr w:type="spellEnd"/>
      <w:r w:rsidRPr="001F70F0">
        <w:rPr>
          <w:rFonts w:ascii="Arial" w:eastAsia="Times New Roman" w:hAnsi="Arial" w:cs="Arial"/>
          <w:sz w:val="15"/>
          <w:szCs w:val="15"/>
        </w:rPr>
        <w:t xml:space="preserve"> (300 Btu/scf) or greater if the flare is steam-assisted or air-assisted; or with the net heating value of the gas being combusted being 7.45 MJ/</w:t>
      </w:r>
      <w:proofErr w:type="spellStart"/>
      <w:r w:rsidRPr="001F70F0">
        <w:rPr>
          <w:rFonts w:ascii="Arial" w:eastAsia="Times New Roman" w:hAnsi="Arial" w:cs="Arial"/>
          <w:sz w:val="15"/>
          <w:szCs w:val="15"/>
        </w:rPr>
        <w:t>scm</w:t>
      </w:r>
      <w:proofErr w:type="spellEnd"/>
      <w:r w:rsidRPr="001F70F0">
        <w:rPr>
          <w:rFonts w:ascii="Arial" w:eastAsia="Times New Roman" w:hAnsi="Arial" w:cs="Arial"/>
          <w:sz w:val="15"/>
          <w:szCs w:val="15"/>
        </w:rPr>
        <w:t xml:space="preserve"> (200 Btu/scf) or greater if the flare is </w:t>
      </w:r>
      <w:proofErr w:type="spellStart"/>
      <w:r w:rsidRPr="001F70F0">
        <w:rPr>
          <w:rFonts w:ascii="Arial" w:eastAsia="Times New Roman" w:hAnsi="Arial" w:cs="Arial"/>
          <w:sz w:val="15"/>
          <w:szCs w:val="15"/>
        </w:rPr>
        <w:t>nonassisted</w:t>
      </w:r>
      <w:proofErr w:type="spellEnd"/>
      <w:r w:rsidRPr="001F70F0">
        <w:rPr>
          <w:rFonts w:ascii="Arial" w:eastAsia="Times New Roman" w:hAnsi="Arial" w:cs="Arial"/>
          <w:sz w:val="15"/>
          <w:szCs w:val="15"/>
        </w:rPr>
        <w:t>. The net heating value of the gas being combusted shall be determined by the methods specified in paragraph (f</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3)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xml:space="preserve">) Steam-assisted and </w:t>
      </w:r>
      <w:proofErr w:type="spellStart"/>
      <w:r w:rsidRPr="001F70F0">
        <w:rPr>
          <w:rFonts w:ascii="Arial" w:eastAsia="Times New Roman" w:hAnsi="Arial" w:cs="Arial"/>
          <w:sz w:val="15"/>
          <w:szCs w:val="15"/>
        </w:rPr>
        <w:t>nonassisted</w:t>
      </w:r>
      <w:proofErr w:type="spellEnd"/>
      <w:r w:rsidRPr="001F70F0">
        <w:rPr>
          <w:rFonts w:ascii="Arial" w:eastAsia="Times New Roman" w:hAnsi="Arial" w:cs="Arial"/>
          <w:sz w:val="15"/>
          <w:szCs w:val="15"/>
        </w:rPr>
        <w:t xml:space="preserve"> flares shall be designed for and operated with an exit velocity, as determined by the methods specified in paragraph (f)(4) of this section, less than 18.3 m/sec (60 ft/sec), except as provided in paragraphs (c)(4) (ii) and (iii)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(ii) Steam-assisted and </w:t>
      </w:r>
      <w:proofErr w:type="spellStart"/>
      <w:r w:rsidRPr="001F70F0">
        <w:rPr>
          <w:rFonts w:ascii="Arial" w:eastAsia="Times New Roman" w:hAnsi="Arial" w:cs="Arial"/>
          <w:sz w:val="15"/>
          <w:szCs w:val="15"/>
        </w:rPr>
        <w:t>nonassisted</w:t>
      </w:r>
      <w:proofErr w:type="spellEnd"/>
      <w:r w:rsidRPr="001F70F0">
        <w:rPr>
          <w:rFonts w:ascii="Arial" w:eastAsia="Times New Roman" w:hAnsi="Arial" w:cs="Arial"/>
          <w:sz w:val="15"/>
          <w:szCs w:val="15"/>
        </w:rPr>
        <w:t xml:space="preserve"> flares designed for and operated with an exit velocity, as determined by the methods specified in paragraph (f</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4), equal to or greater than 18.3 m/sec (60 ft/sec) but less than 122 m/sec (400 ft/sec) are allowed if the net heating value of the gas being combusted is greater than 37.3 MJ/</w:t>
      </w:r>
      <w:proofErr w:type="spellStart"/>
      <w:r w:rsidRPr="001F70F0">
        <w:rPr>
          <w:rFonts w:ascii="Arial" w:eastAsia="Times New Roman" w:hAnsi="Arial" w:cs="Arial"/>
          <w:sz w:val="15"/>
          <w:szCs w:val="15"/>
        </w:rPr>
        <w:t>scm</w:t>
      </w:r>
      <w:proofErr w:type="spellEnd"/>
      <w:r w:rsidRPr="001F70F0">
        <w:rPr>
          <w:rFonts w:ascii="Arial" w:eastAsia="Times New Roman" w:hAnsi="Arial" w:cs="Arial"/>
          <w:sz w:val="15"/>
          <w:szCs w:val="15"/>
        </w:rPr>
        <w:t xml:space="preserve"> (1,000 Btu/scf).</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(iii) Steam-assisted and </w:t>
      </w:r>
      <w:proofErr w:type="spellStart"/>
      <w:r w:rsidRPr="001F70F0">
        <w:rPr>
          <w:rFonts w:ascii="Arial" w:eastAsia="Times New Roman" w:hAnsi="Arial" w:cs="Arial"/>
          <w:sz w:val="15"/>
          <w:szCs w:val="15"/>
        </w:rPr>
        <w:t>nonassisted</w:t>
      </w:r>
      <w:proofErr w:type="spellEnd"/>
      <w:r w:rsidRPr="001F70F0">
        <w:rPr>
          <w:rFonts w:ascii="Arial" w:eastAsia="Times New Roman" w:hAnsi="Arial" w:cs="Arial"/>
          <w:sz w:val="15"/>
          <w:szCs w:val="15"/>
        </w:rPr>
        <w:t xml:space="preserve"> flares designed for and operated with an exit velocity, as determined by the methods specified in paragraph (f)(4), less than the velocity, </w:t>
      </w:r>
      <w:proofErr w:type="spellStart"/>
      <w:r w:rsidRPr="001F70F0">
        <w:rPr>
          <w:rFonts w:ascii="Arial" w:eastAsia="Times New Roman" w:hAnsi="Arial" w:cs="Arial"/>
          <w:sz w:val="15"/>
          <w:szCs w:val="15"/>
        </w:rPr>
        <w:t>V</w:t>
      </w:r>
      <w:r w:rsidRPr="001F70F0">
        <w:rPr>
          <w:rFonts w:ascii="Arial" w:eastAsia="Times New Roman" w:hAnsi="Arial" w:cs="Arial"/>
          <w:sz w:val="11"/>
          <w:szCs w:val="11"/>
          <w:vertAlign w:val="subscript"/>
        </w:rPr>
        <w:t>max</w:t>
      </w:r>
      <w:proofErr w:type="spellEnd"/>
      <w:r w:rsidRPr="001F70F0">
        <w:rPr>
          <w:rFonts w:ascii="Arial" w:eastAsia="Times New Roman" w:hAnsi="Arial" w:cs="Arial"/>
          <w:sz w:val="15"/>
          <w:szCs w:val="15"/>
        </w:rPr>
        <w:t xml:space="preserve"> , as determined by the method specified in paragraph (f)(5), and less than 122 m/sec (400 ft/sec) are allowed.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(5) Air-assisted flares shall be designed and operated with an exit velocity less than the velocity, </w:t>
      </w:r>
      <w:proofErr w:type="spellStart"/>
      <w:r w:rsidRPr="001F70F0">
        <w:rPr>
          <w:rFonts w:ascii="Arial" w:eastAsia="Times New Roman" w:hAnsi="Arial" w:cs="Arial"/>
          <w:sz w:val="15"/>
          <w:szCs w:val="15"/>
        </w:rPr>
        <w:t>V</w:t>
      </w:r>
      <w:r w:rsidRPr="001F70F0">
        <w:rPr>
          <w:rFonts w:ascii="Arial" w:eastAsia="Times New Roman" w:hAnsi="Arial" w:cs="Arial"/>
          <w:sz w:val="11"/>
          <w:szCs w:val="11"/>
          <w:vertAlign w:val="subscript"/>
        </w:rPr>
        <w:t>max</w:t>
      </w:r>
      <w:proofErr w:type="spellEnd"/>
      <w:r w:rsidRPr="001F70F0">
        <w:rPr>
          <w:rFonts w:ascii="Arial" w:eastAsia="Times New Roman" w:hAnsi="Arial" w:cs="Arial"/>
          <w:sz w:val="15"/>
          <w:szCs w:val="15"/>
        </w:rPr>
        <w:t xml:space="preserve"> , as determined by the method specified in paragraph (f)(6).</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(6) Flares used to comply with this section shall be steam-assisted, air-assisted, or </w:t>
      </w:r>
      <w:proofErr w:type="spellStart"/>
      <w:r w:rsidRPr="001F70F0">
        <w:rPr>
          <w:rFonts w:ascii="Arial" w:eastAsia="Times New Roman" w:hAnsi="Arial" w:cs="Arial"/>
          <w:sz w:val="15"/>
          <w:szCs w:val="15"/>
        </w:rPr>
        <w:t>nonassisted</w:t>
      </w:r>
      <w:proofErr w:type="spellEnd"/>
      <w:r w:rsidRPr="001F70F0">
        <w:rPr>
          <w:rFonts w:ascii="Arial" w:eastAsia="Times New Roman" w:hAnsi="Arial" w:cs="Arial"/>
          <w:sz w:val="15"/>
          <w:szCs w:val="15"/>
        </w:rPr>
        <w: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Flares used to comply with provisions of this subpart shall be operated at all times when emissions may be vented to them.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(f)(1) Method 22 of appendix A to this part shall be used to determine the compliance of flares with the visible emission provisions of this subpart. The observation period is 2 hours and shall be used according to Method 22.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presence of a flare pilot flame shall be monitored using a thermocouple or any other equivalent device to detect the presence of a flame.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net heating value of the gas being combusted in a flare shall be calculated using the following equation:</w:t>
      </w:r>
    </w:p>
    <w:p w:rsidR="001F70F0" w:rsidRPr="001F70F0" w:rsidRDefault="001F70F0" w:rsidP="001F70F0">
      <w:pPr>
        <w:spacing w:after="0" w:line="240" w:lineRule="auto"/>
        <w:jc w:val="center"/>
        <w:rPr>
          <w:rFonts w:ascii="Arial" w:eastAsia="Times New Roman" w:hAnsi="Arial" w:cs="Arial"/>
          <w:sz w:val="15"/>
          <w:szCs w:val="15"/>
        </w:rPr>
      </w:pPr>
      <w:r>
        <w:rPr>
          <w:rFonts w:ascii="Arial" w:eastAsia="Times New Roman" w:hAnsi="Arial" w:cs="Arial"/>
          <w:noProof/>
          <w:sz w:val="15"/>
          <w:szCs w:val="15"/>
        </w:rPr>
        <w:drawing>
          <wp:inline distT="0" distB="0" distL="0" distR="0">
            <wp:extent cx="1097280" cy="292735"/>
            <wp:effectExtent l="19050" t="0" r="7620" b="0"/>
            <wp:docPr id="22" name="Picture 22"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c01jn92.008.gif"/>
                    <pic:cNvPicPr>
                      <a:picLocks noChangeAspect="1" noChangeArrowheads="1"/>
                    </pic:cNvPicPr>
                  </pic:nvPicPr>
                  <pic:blipFill>
                    <a:blip r:embed="rId7" cstate="print"/>
                    <a:srcRect/>
                    <a:stretch>
                      <a:fillRect/>
                    </a:stretch>
                  </pic:blipFill>
                  <pic:spPr bwMode="auto">
                    <a:xfrm>
                      <a:off x="0" y="0"/>
                      <a:ext cx="1097280" cy="292735"/>
                    </a:xfrm>
                    <a:prstGeom prst="rect">
                      <a:avLst/>
                    </a:prstGeom>
                    <a:noFill/>
                    <a:ln w="9525">
                      <a:noFill/>
                      <a:miter lim="800000"/>
                      <a:headEnd/>
                      <a:tailEnd/>
                    </a:ln>
                  </pic:spPr>
                </pic:pic>
              </a:graphicData>
            </a:graphic>
          </wp:inline>
        </w:drawing>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hyperlink r:id="rId8" w:history="1">
        <w:r w:rsidRPr="001F70F0">
          <w:rPr>
            <w:rFonts w:ascii="Arial" w:eastAsia="Times New Roman" w:hAnsi="Arial" w:cs="Arial"/>
            <w:color w:val="0000FF"/>
            <w:sz w:val="13"/>
          </w:rPr>
          <w:t>View or download PDF</w:t>
        </w:r>
      </w:hyperlink>
      <w:r w:rsidRPr="001F70F0">
        <w:rPr>
          <w:rFonts w:ascii="Arial" w:eastAsia="Times New Roman" w:hAnsi="Arial" w:cs="Arial"/>
          <w:sz w:val="15"/>
          <w:szCs w:val="15"/>
        </w:rPr>
        <w:t xml:space="preserve"> </w:t>
      </w:r>
    </w:p>
    <w:p w:rsidR="001F70F0" w:rsidRPr="001F70F0" w:rsidRDefault="001F70F0" w:rsidP="001F70F0">
      <w:pPr>
        <w:spacing w:before="200" w:after="100" w:afterAutospacing="1" w:line="240" w:lineRule="auto"/>
        <w:rPr>
          <w:rFonts w:ascii="Arial" w:eastAsia="Times New Roman" w:hAnsi="Arial" w:cs="Arial"/>
          <w:sz w:val="14"/>
          <w:szCs w:val="14"/>
        </w:rPr>
      </w:pPr>
      <w:proofErr w:type="gramStart"/>
      <w:r w:rsidRPr="001F70F0">
        <w:rPr>
          <w:rFonts w:ascii="Arial" w:eastAsia="Times New Roman" w:hAnsi="Arial" w:cs="Arial"/>
          <w:sz w:val="14"/>
          <w:szCs w:val="14"/>
        </w:rPr>
        <w:t>where</w:t>
      </w:r>
      <w:proofErr w:type="gramEnd"/>
      <w:r w:rsidRPr="001F70F0">
        <w:rPr>
          <w:rFonts w:ascii="Arial" w:eastAsia="Times New Roman" w:hAnsi="Arial" w:cs="Arial"/>
          <w:sz w:val="14"/>
          <w:szCs w:val="14"/>
        </w:rPr>
        <w:t>:</w:t>
      </w:r>
    </w:p>
    <w:p w:rsidR="001F70F0" w:rsidRPr="001F70F0" w:rsidRDefault="001F70F0" w:rsidP="001F70F0">
      <w:pPr>
        <w:spacing w:before="200" w:after="100" w:line="240" w:lineRule="auto"/>
        <w:ind w:left="960" w:hanging="960"/>
        <w:jc w:val="center"/>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T</w:t>
      </w:r>
      <w:r w:rsidRPr="001F70F0">
        <w:rPr>
          <w:rFonts w:ascii="Arial" w:eastAsia="Times New Roman" w:hAnsi="Arial" w:cs="Arial"/>
          <w:sz w:val="14"/>
          <w:szCs w:val="14"/>
        </w:rPr>
        <w:t xml:space="preserve"> =Net heating value of the sample, MJ/</w:t>
      </w:r>
      <w:proofErr w:type="spellStart"/>
      <w:r w:rsidRPr="001F70F0">
        <w:rPr>
          <w:rFonts w:ascii="Arial" w:eastAsia="Times New Roman" w:hAnsi="Arial" w:cs="Arial"/>
          <w:sz w:val="14"/>
          <w:szCs w:val="14"/>
        </w:rPr>
        <w:t>scm</w:t>
      </w:r>
      <w:proofErr w:type="spellEnd"/>
      <w:r w:rsidRPr="001F70F0">
        <w:rPr>
          <w:rFonts w:ascii="Arial" w:eastAsia="Times New Roman" w:hAnsi="Arial" w:cs="Arial"/>
          <w:sz w:val="14"/>
          <w:szCs w:val="14"/>
        </w:rPr>
        <w:t xml:space="preserve">; where the net enthalpy per mole of </w:t>
      </w:r>
      <w:proofErr w:type="spellStart"/>
      <w:r w:rsidRPr="001F70F0">
        <w:rPr>
          <w:rFonts w:ascii="Arial" w:eastAsia="Times New Roman" w:hAnsi="Arial" w:cs="Arial"/>
          <w:sz w:val="14"/>
          <w:szCs w:val="14"/>
        </w:rPr>
        <w:t>offgas</w:t>
      </w:r>
      <w:proofErr w:type="spellEnd"/>
      <w:r w:rsidRPr="001F70F0">
        <w:rPr>
          <w:rFonts w:ascii="Arial" w:eastAsia="Times New Roman" w:hAnsi="Arial" w:cs="Arial"/>
          <w:sz w:val="14"/>
          <w:szCs w:val="14"/>
        </w:rPr>
        <w:t xml:space="preserve"> is based on combustion at 25 °C and 760 mm Hg, but the standard temperature for determining the volume corresponding to one mole is 20 °C;</w:t>
      </w:r>
    </w:p>
    <w:p w:rsidR="001F70F0" w:rsidRPr="001F70F0" w:rsidRDefault="001F70F0" w:rsidP="001F70F0">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3379470" cy="577850"/>
            <wp:effectExtent l="19050" t="0" r="0" b="0"/>
            <wp:docPr id="23" name="Picture 23"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jn92.009.gif"/>
                    <pic:cNvPicPr>
                      <a:picLocks noChangeAspect="1" noChangeArrowheads="1"/>
                    </pic:cNvPicPr>
                  </pic:nvPicPr>
                  <pic:blipFill>
                    <a:blip r:embed="rId9" cstate="print"/>
                    <a:srcRect/>
                    <a:stretch>
                      <a:fillRect/>
                    </a:stretch>
                  </pic:blipFill>
                  <pic:spPr bwMode="auto">
                    <a:xfrm>
                      <a:off x="0" y="0"/>
                      <a:ext cx="3379470" cy="577850"/>
                    </a:xfrm>
                    <a:prstGeom prst="rect">
                      <a:avLst/>
                    </a:prstGeom>
                    <a:noFill/>
                    <a:ln w="9525">
                      <a:noFill/>
                      <a:miter lim="800000"/>
                      <a:headEnd/>
                      <a:tailEnd/>
                    </a:ln>
                  </pic:spPr>
                </pic:pic>
              </a:graphicData>
            </a:graphic>
          </wp:inline>
        </w:drawing>
      </w:r>
    </w:p>
    <w:p w:rsidR="00335A5D" w:rsidRDefault="001F70F0" w:rsidP="001F70F0">
      <w:pPr>
        <w:spacing w:before="100" w:beforeAutospacing="1" w:after="100" w:afterAutospacing="1" w:line="240" w:lineRule="auto"/>
        <w:ind w:firstLine="480"/>
        <w:jc w:val="center"/>
        <w:rPr>
          <w:rFonts w:ascii="Arial" w:eastAsia="Times New Roman" w:hAnsi="Arial" w:cs="Arial"/>
          <w:sz w:val="14"/>
          <w:szCs w:val="14"/>
        </w:rPr>
      </w:pPr>
      <w:hyperlink r:id="rId10" w:history="1">
        <w:r w:rsidRPr="001F70F0">
          <w:rPr>
            <w:rFonts w:ascii="Arial" w:eastAsia="Times New Roman" w:hAnsi="Arial" w:cs="Arial"/>
            <w:color w:val="0000FF"/>
            <w:sz w:val="13"/>
          </w:rPr>
          <w:t>View or download PDF</w:t>
        </w:r>
      </w:hyperlink>
      <w:r w:rsidRPr="001F70F0">
        <w:rPr>
          <w:rFonts w:ascii="Arial" w:eastAsia="Times New Roman" w:hAnsi="Arial" w:cs="Arial"/>
          <w:sz w:val="14"/>
          <w:szCs w:val="14"/>
        </w:rPr>
        <w:t xml:space="preserve"> </w:t>
      </w:r>
    </w:p>
    <w:p w:rsidR="00335A5D" w:rsidRDefault="00335A5D">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4"/>
          <w:szCs w:val="14"/>
        </w:rPr>
      </w:pPr>
    </w:p>
    <w:p w:rsidR="001F70F0" w:rsidRPr="001F70F0" w:rsidRDefault="001F70F0" w:rsidP="00335A5D">
      <w:pPr>
        <w:spacing w:before="200" w:after="100" w:line="240" w:lineRule="auto"/>
        <w:ind w:left="960" w:hanging="960"/>
        <w:rPr>
          <w:rFonts w:ascii="Arial" w:eastAsia="Times New Roman" w:hAnsi="Arial" w:cs="Arial"/>
          <w:sz w:val="14"/>
          <w:szCs w:val="14"/>
        </w:rPr>
      </w:pPr>
      <w:proofErr w:type="spellStart"/>
      <w:r w:rsidRPr="001F70F0">
        <w:rPr>
          <w:rFonts w:ascii="Arial" w:eastAsia="Times New Roman" w:hAnsi="Arial" w:cs="Arial"/>
          <w:sz w:val="14"/>
          <w:szCs w:val="14"/>
        </w:rPr>
        <w:t>C</w:t>
      </w:r>
      <w:r w:rsidRPr="001F70F0">
        <w:rPr>
          <w:rFonts w:ascii="Arial" w:eastAsia="Times New Roman" w:hAnsi="Arial" w:cs="Arial"/>
          <w:sz w:val="10"/>
          <w:szCs w:val="10"/>
          <w:vertAlign w:val="subscript"/>
        </w:rPr>
        <w:t>i</w:t>
      </w:r>
      <w:proofErr w:type="spellEnd"/>
      <w:r w:rsidRPr="001F70F0">
        <w:rPr>
          <w:rFonts w:ascii="Arial" w:eastAsia="Times New Roman" w:hAnsi="Arial" w:cs="Arial"/>
          <w:sz w:val="14"/>
          <w:szCs w:val="14"/>
        </w:rPr>
        <w:t xml:space="preserve"> =Concentration of sample component </w:t>
      </w:r>
      <w:proofErr w:type="spellStart"/>
      <w:r w:rsidRPr="001F70F0">
        <w:rPr>
          <w:rFonts w:ascii="Arial" w:eastAsia="Times New Roman" w:hAnsi="Arial" w:cs="Arial"/>
          <w:sz w:val="14"/>
          <w:szCs w:val="14"/>
        </w:rPr>
        <w:t>i</w:t>
      </w:r>
      <w:proofErr w:type="spellEnd"/>
      <w:r w:rsidRPr="001F70F0">
        <w:rPr>
          <w:rFonts w:ascii="Arial" w:eastAsia="Times New Roman" w:hAnsi="Arial" w:cs="Arial"/>
          <w:sz w:val="14"/>
          <w:szCs w:val="14"/>
        </w:rPr>
        <w:t xml:space="preserve"> in ppm on a wet basis, as measured for organics by Reference Method 18 and measured for hydrogen and carbon monoxide by ASTM D1946-77 or 90 (Reapproved 1994) (Incorporated by reference as specified in § 60.17); and</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i</w:t>
      </w:r>
      <w:r w:rsidRPr="001F70F0">
        <w:rPr>
          <w:rFonts w:ascii="Arial" w:eastAsia="Times New Roman" w:hAnsi="Arial" w:cs="Arial"/>
          <w:sz w:val="14"/>
          <w:szCs w:val="14"/>
        </w:rPr>
        <w:t xml:space="preserve"> =Net heat of combustion of sample component </w:t>
      </w:r>
      <w:proofErr w:type="spellStart"/>
      <w:r w:rsidRPr="001F70F0">
        <w:rPr>
          <w:rFonts w:ascii="Arial" w:eastAsia="Times New Roman" w:hAnsi="Arial" w:cs="Arial"/>
          <w:sz w:val="14"/>
          <w:szCs w:val="14"/>
        </w:rPr>
        <w:t>i</w:t>
      </w:r>
      <w:proofErr w:type="spellEnd"/>
      <w:r w:rsidRPr="001F70F0">
        <w:rPr>
          <w:rFonts w:ascii="Arial" w:eastAsia="Times New Roman" w:hAnsi="Arial" w:cs="Arial"/>
          <w:sz w:val="14"/>
          <w:szCs w:val="14"/>
        </w:rPr>
        <w:t>, kcal/g mole at 25 °C and 760 mm Hg. The heats of combustion may be determined using ASTM D2382-76 or 88 or D4809-95 (incorporated by reference as specified in § 60.17) if published values are not available or cannot be calculated.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 The actual exit velocity of a flare shall be determined by dividing the volumetric </w:t>
      </w:r>
      <w:proofErr w:type="spellStart"/>
      <w:r w:rsidRPr="001F70F0">
        <w:rPr>
          <w:rFonts w:ascii="Arial" w:eastAsia="Times New Roman" w:hAnsi="Arial" w:cs="Arial"/>
          <w:sz w:val="15"/>
          <w:szCs w:val="15"/>
        </w:rPr>
        <w:t>flowrate</w:t>
      </w:r>
      <w:proofErr w:type="spellEnd"/>
      <w:r w:rsidRPr="001F70F0">
        <w:rPr>
          <w:rFonts w:ascii="Arial" w:eastAsia="Times New Roman" w:hAnsi="Arial" w:cs="Arial"/>
          <w:sz w:val="15"/>
          <w:szCs w:val="15"/>
        </w:rPr>
        <w:t xml:space="preserve"> (in units of standard temperature and pressure), as determined by Reference Methods 2, 2A, 2C, or 2D as appropriate; by the unobstructed (free) cross sectional area of the flare tip.</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(5) The maximum permitted velocity, </w:t>
      </w:r>
      <w:proofErr w:type="spellStart"/>
      <w:proofErr w:type="gramStart"/>
      <w:r w:rsidRPr="001F70F0">
        <w:rPr>
          <w:rFonts w:ascii="Arial" w:eastAsia="Times New Roman" w:hAnsi="Arial" w:cs="Arial"/>
          <w:sz w:val="15"/>
          <w:szCs w:val="15"/>
        </w:rPr>
        <w:t>V</w:t>
      </w:r>
      <w:r w:rsidRPr="001F70F0">
        <w:rPr>
          <w:rFonts w:ascii="Arial" w:eastAsia="Times New Roman" w:hAnsi="Arial" w:cs="Arial"/>
          <w:sz w:val="11"/>
          <w:szCs w:val="11"/>
          <w:vertAlign w:val="subscript"/>
        </w:rPr>
        <w:t>max</w:t>
      </w:r>
      <w:proofErr w:type="spellEnd"/>
      <w:r w:rsidRPr="001F70F0">
        <w:rPr>
          <w:rFonts w:ascii="Arial" w:eastAsia="Times New Roman" w:hAnsi="Arial" w:cs="Arial"/>
          <w:sz w:val="15"/>
          <w:szCs w:val="15"/>
        </w:rPr>
        <w:t xml:space="preserve"> ,</w:t>
      </w:r>
      <w:proofErr w:type="gramEnd"/>
      <w:r w:rsidRPr="001F70F0">
        <w:rPr>
          <w:rFonts w:ascii="Arial" w:eastAsia="Times New Roman" w:hAnsi="Arial" w:cs="Arial"/>
          <w:sz w:val="15"/>
          <w:szCs w:val="15"/>
        </w:rPr>
        <w:t xml:space="preserve"> for flares complying with paragraph (c)(4)(iii) shall be determined by the following equation.</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Log</w:t>
      </w:r>
      <w:r w:rsidRPr="001F70F0">
        <w:rPr>
          <w:rFonts w:ascii="Arial" w:eastAsia="Times New Roman" w:hAnsi="Arial" w:cs="Arial"/>
          <w:sz w:val="10"/>
          <w:szCs w:val="10"/>
          <w:vertAlign w:val="subscript"/>
        </w:rPr>
        <w:t>10</w:t>
      </w:r>
      <w:r w:rsidRPr="001F70F0">
        <w:rPr>
          <w:rFonts w:ascii="Arial" w:eastAsia="Times New Roman" w:hAnsi="Arial" w:cs="Arial"/>
          <w:sz w:val="14"/>
          <w:szCs w:val="14"/>
        </w:rPr>
        <w:t xml:space="preserve"> (</w:t>
      </w:r>
      <w:proofErr w:type="spellStart"/>
      <w:proofErr w:type="gramStart"/>
      <w:r w:rsidRPr="001F70F0">
        <w:rPr>
          <w:rFonts w:ascii="Arial" w:eastAsia="Times New Roman" w:hAnsi="Arial" w:cs="Arial"/>
          <w:sz w:val="14"/>
          <w:szCs w:val="14"/>
        </w:rPr>
        <w:t>V</w:t>
      </w:r>
      <w:r w:rsidRPr="001F70F0">
        <w:rPr>
          <w:rFonts w:ascii="Arial" w:eastAsia="Times New Roman" w:hAnsi="Arial" w:cs="Arial"/>
          <w:sz w:val="10"/>
          <w:szCs w:val="10"/>
          <w:vertAlign w:val="subscript"/>
        </w:rPr>
        <w:t>max</w:t>
      </w:r>
      <w:proofErr w:type="spellEnd"/>
      <w:r w:rsidRPr="001F70F0">
        <w:rPr>
          <w:rFonts w:ascii="Arial" w:eastAsia="Times New Roman" w:hAnsi="Arial" w:cs="Arial"/>
          <w:sz w:val="14"/>
          <w:szCs w:val="14"/>
        </w:rPr>
        <w:t xml:space="preserve"> )=</w:t>
      </w:r>
      <w:proofErr w:type="gramEnd"/>
      <w:r w:rsidRPr="001F70F0">
        <w:rPr>
          <w:rFonts w:ascii="Arial" w:eastAsia="Times New Roman" w:hAnsi="Arial" w:cs="Arial"/>
          <w:sz w:val="14"/>
          <w:szCs w:val="14"/>
        </w:rPr>
        <w:t>(H</w:t>
      </w:r>
      <w:r w:rsidRPr="001F70F0">
        <w:rPr>
          <w:rFonts w:ascii="Arial" w:eastAsia="Times New Roman" w:hAnsi="Arial" w:cs="Arial"/>
          <w:sz w:val="10"/>
          <w:szCs w:val="10"/>
          <w:vertAlign w:val="subscript"/>
        </w:rPr>
        <w:t>T</w:t>
      </w:r>
      <w:r w:rsidRPr="001F70F0">
        <w:rPr>
          <w:rFonts w:ascii="Arial" w:eastAsia="Times New Roman" w:hAnsi="Arial" w:cs="Arial"/>
          <w:sz w:val="14"/>
          <w:szCs w:val="14"/>
        </w:rPr>
        <w:t xml:space="preserve"> +28.8)/31.7</w:t>
      </w:r>
    </w:p>
    <w:p w:rsidR="001F70F0" w:rsidRPr="001F70F0" w:rsidRDefault="001F70F0" w:rsidP="00335A5D">
      <w:pPr>
        <w:spacing w:before="200" w:after="100" w:line="240" w:lineRule="auto"/>
        <w:ind w:left="960" w:hanging="960"/>
        <w:rPr>
          <w:rFonts w:ascii="Arial" w:eastAsia="Times New Roman" w:hAnsi="Arial" w:cs="Arial"/>
          <w:sz w:val="14"/>
          <w:szCs w:val="14"/>
        </w:rPr>
      </w:pPr>
      <w:proofErr w:type="spellStart"/>
      <w:r w:rsidRPr="001F70F0">
        <w:rPr>
          <w:rFonts w:ascii="Arial" w:eastAsia="Times New Roman" w:hAnsi="Arial" w:cs="Arial"/>
          <w:sz w:val="14"/>
          <w:szCs w:val="14"/>
        </w:rPr>
        <w:t>V</w:t>
      </w:r>
      <w:r w:rsidRPr="001F70F0">
        <w:rPr>
          <w:rFonts w:ascii="Arial" w:eastAsia="Times New Roman" w:hAnsi="Arial" w:cs="Arial"/>
          <w:sz w:val="10"/>
          <w:szCs w:val="10"/>
          <w:vertAlign w:val="subscript"/>
        </w:rPr>
        <w:t>max</w:t>
      </w:r>
      <w:proofErr w:type="spellEnd"/>
      <w:r w:rsidRPr="001F70F0">
        <w:rPr>
          <w:rFonts w:ascii="Arial" w:eastAsia="Times New Roman" w:hAnsi="Arial" w:cs="Arial"/>
          <w:sz w:val="14"/>
          <w:szCs w:val="14"/>
        </w:rPr>
        <w:t xml:space="preserve"> =Maximum permitted velocity, M/sec</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28.8=Constant</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31.7=Constant</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T</w:t>
      </w:r>
      <w:r w:rsidRPr="001F70F0">
        <w:rPr>
          <w:rFonts w:ascii="Arial" w:eastAsia="Times New Roman" w:hAnsi="Arial" w:cs="Arial"/>
          <w:sz w:val="14"/>
          <w:szCs w:val="14"/>
        </w:rPr>
        <w:t xml:space="preserve"> =The net heating value as determined in paragraph (f</w:t>
      </w:r>
      <w:proofErr w:type="gramStart"/>
      <w:r w:rsidRPr="001F70F0">
        <w:rPr>
          <w:rFonts w:ascii="Arial" w:eastAsia="Times New Roman" w:hAnsi="Arial" w:cs="Arial"/>
          <w:sz w:val="14"/>
          <w:szCs w:val="14"/>
        </w:rPr>
        <w:t>)(</w:t>
      </w:r>
      <w:proofErr w:type="gramEnd"/>
      <w:r w:rsidRPr="001F70F0">
        <w:rPr>
          <w:rFonts w:ascii="Arial" w:eastAsia="Times New Roman" w:hAnsi="Arial" w:cs="Arial"/>
          <w:sz w:val="14"/>
          <w:szCs w:val="14"/>
        </w:rPr>
        <w:t>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(6) The maximum permitted velocity, </w:t>
      </w:r>
      <w:proofErr w:type="spellStart"/>
      <w:proofErr w:type="gramStart"/>
      <w:r w:rsidRPr="001F70F0">
        <w:rPr>
          <w:rFonts w:ascii="Arial" w:eastAsia="Times New Roman" w:hAnsi="Arial" w:cs="Arial"/>
          <w:sz w:val="15"/>
          <w:szCs w:val="15"/>
        </w:rPr>
        <w:t>V</w:t>
      </w:r>
      <w:r w:rsidRPr="001F70F0">
        <w:rPr>
          <w:rFonts w:ascii="Arial" w:eastAsia="Times New Roman" w:hAnsi="Arial" w:cs="Arial"/>
          <w:sz w:val="11"/>
          <w:szCs w:val="11"/>
          <w:vertAlign w:val="subscript"/>
        </w:rPr>
        <w:t>max</w:t>
      </w:r>
      <w:proofErr w:type="spellEnd"/>
      <w:r w:rsidRPr="001F70F0">
        <w:rPr>
          <w:rFonts w:ascii="Arial" w:eastAsia="Times New Roman" w:hAnsi="Arial" w:cs="Arial"/>
          <w:sz w:val="15"/>
          <w:szCs w:val="15"/>
        </w:rPr>
        <w:t xml:space="preserve"> ,</w:t>
      </w:r>
      <w:proofErr w:type="gramEnd"/>
      <w:r w:rsidRPr="001F70F0">
        <w:rPr>
          <w:rFonts w:ascii="Arial" w:eastAsia="Times New Roman" w:hAnsi="Arial" w:cs="Arial"/>
          <w:sz w:val="15"/>
          <w:szCs w:val="15"/>
        </w:rPr>
        <w:t xml:space="preserve"> for air-assisted flares shall be determined by the following equation.</w:t>
      </w:r>
    </w:p>
    <w:p w:rsidR="001F70F0" w:rsidRPr="001F70F0" w:rsidRDefault="001F70F0" w:rsidP="00335A5D">
      <w:pPr>
        <w:spacing w:before="200" w:after="100" w:line="240" w:lineRule="auto"/>
        <w:ind w:left="960" w:hanging="960"/>
        <w:rPr>
          <w:rFonts w:ascii="Arial" w:eastAsia="Times New Roman" w:hAnsi="Arial" w:cs="Arial"/>
          <w:sz w:val="14"/>
          <w:szCs w:val="14"/>
        </w:rPr>
      </w:pPr>
      <w:proofErr w:type="spellStart"/>
      <w:r w:rsidRPr="001F70F0">
        <w:rPr>
          <w:rFonts w:ascii="Arial" w:eastAsia="Times New Roman" w:hAnsi="Arial" w:cs="Arial"/>
          <w:sz w:val="14"/>
          <w:szCs w:val="14"/>
        </w:rPr>
        <w:t>V</w:t>
      </w:r>
      <w:r w:rsidRPr="001F70F0">
        <w:rPr>
          <w:rFonts w:ascii="Arial" w:eastAsia="Times New Roman" w:hAnsi="Arial" w:cs="Arial"/>
          <w:sz w:val="10"/>
          <w:szCs w:val="10"/>
          <w:vertAlign w:val="subscript"/>
        </w:rPr>
        <w:t>max</w:t>
      </w:r>
      <w:proofErr w:type="spellEnd"/>
      <w:r w:rsidRPr="001F70F0">
        <w:rPr>
          <w:rFonts w:ascii="Arial" w:eastAsia="Times New Roman" w:hAnsi="Arial" w:cs="Arial"/>
          <w:sz w:val="14"/>
          <w:szCs w:val="14"/>
        </w:rPr>
        <w:t xml:space="preserve"> =8.706+0.7084 (</w:t>
      </w:r>
      <w:proofErr w:type="gramStart"/>
      <w:r w:rsidRPr="001F70F0">
        <w:rPr>
          <w:rFonts w:ascii="Arial" w:eastAsia="Times New Roman" w:hAnsi="Arial" w:cs="Arial"/>
          <w:sz w:val="14"/>
          <w:szCs w:val="14"/>
        </w:rPr>
        <w:t>H</w:t>
      </w:r>
      <w:r w:rsidRPr="001F70F0">
        <w:rPr>
          <w:rFonts w:ascii="Arial" w:eastAsia="Times New Roman" w:hAnsi="Arial" w:cs="Arial"/>
          <w:sz w:val="10"/>
          <w:szCs w:val="10"/>
          <w:vertAlign w:val="subscript"/>
        </w:rPr>
        <w:t>T</w:t>
      </w:r>
      <w:r w:rsidRPr="001F70F0">
        <w:rPr>
          <w:rFonts w:ascii="Arial" w:eastAsia="Times New Roman" w:hAnsi="Arial" w:cs="Arial"/>
          <w:sz w:val="14"/>
          <w:szCs w:val="14"/>
        </w:rPr>
        <w:t xml:space="preserve"> )</w:t>
      </w:r>
      <w:proofErr w:type="gramEnd"/>
    </w:p>
    <w:p w:rsidR="001F70F0" w:rsidRPr="001F70F0" w:rsidRDefault="001F70F0" w:rsidP="00335A5D">
      <w:pPr>
        <w:spacing w:before="200" w:after="100" w:line="240" w:lineRule="auto"/>
        <w:ind w:left="960" w:hanging="960"/>
        <w:rPr>
          <w:rFonts w:ascii="Arial" w:eastAsia="Times New Roman" w:hAnsi="Arial" w:cs="Arial"/>
          <w:sz w:val="14"/>
          <w:szCs w:val="14"/>
        </w:rPr>
      </w:pPr>
      <w:proofErr w:type="spellStart"/>
      <w:r w:rsidRPr="001F70F0">
        <w:rPr>
          <w:rFonts w:ascii="Arial" w:eastAsia="Times New Roman" w:hAnsi="Arial" w:cs="Arial"/>
          <w:sz w:val="14"/>
          <w:szCs w:val="14"/>
        </w:rPr>
        <w:t>V</w:t>
      </w:r>
      <w:r w:rsidRPr="001F70F0">
        <w:rPr>
          <w:rFonts w:ascii="Arial" w:eastAsia="Times New Roman" w:hAnsi="Arial" w:cs="Arial"/>
          <w:sz w:val="10"/>
          <w:szCs w:val="10"/>
          <w:vertAlign w:val="subscript"/>
        </w:rPr>
        <w:t>max</w:t>
      </w:r>
      <w:proofErr w:type="spellEnd"/>
      <w:r w:rsidRPr="001F70F0">
        <w:rPr>
          <w:rFonts w:ascii="Arial" w:eastAsia="Times New Roman" w:hAnsi="Arial" w:cs="Arial"/>
          <w:sz w:val="14"/>
          <w:szCs w:val="14"/>
        </w:rPr>
        <w:t xml:space="preserve"> =Maximum permitted velocity, m/sec</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8.706=Constant</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0.7084=Constant</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T</w:t>
      </w:r>
      <w:r w:rsidRPr="001F70F0">
        <w:rPr>
          <w:rFonts w:ascii="Arial" w:eastAsia="Times New Roman" w:hAnsi="Arial" w:cs="Arial"/>
          <w:sz w:val="14"/>
          <w:szCs w:val="14"/>
        </w:rPr>
        <w:t xml:space="preserve"> =The net heating value as determined in paragraph (f</w:t>
      </w:r>
      <w:proofErr w:type="gramStart"/>
      <w:r w:rsidRPr="001F70F0">
        <w:rPr>
          <w:rFonts w:ascii="Arial" w:eastAsia="Times New Roman" w:hAnsi="Arial" w:cs="Arial"/>
          <w:sz w:val="14"/>
          <w:szCs w:val="14"/>
        </w:rPr>
        <w:t>)(</w:t>
      </w:r>
      <w:proofErr w:type="gramEnd"/>
      <w:r w:rsidRPr="001F70F0">
        <w:rPr>
          <w:rFonts w:ascii="Arial" w:eastAsia="Times New Roman" w:hAnsi="Arial" w:cs="Arial"/>
          <w:sz w:val="14"/>
          <w:szCs w:val="14"/>
        </w:rPr>
        <w:t>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(g) </w:t>
      </w:r>
      <w:r w:rsidRPr="001F70F0">
        <w:rPr>
          <w:rFonts w:ascii="Arial" w:eastAsia="Times New Roman" w:hAnsi="Arial" w:cs="Arial"/>
          <w:i/>
          <w:iCs/>
          <w:sz w:val="15"/>
          <w:szCs w:val="15"/>
        </w:rPr>
        <w:t>Alternative work practice for monitoring equipment for leaks.</w:t>
      </w:r>
      <w:r w:rsidRPr="001F70F0">
        <w:rPr>
          <w:rFonts w:ascii="Arial" w:eastAsia="Times New Roman" w:hAnsi="Arial" w:cs="Arial"/>
          <w:sz w:val="15"/>
          <w:szCs w:val="15"/>
        </w:rPr>
        <w:t xml:space="preserve"> Paragraphs (g), (h), and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xml:space="preserve">) of this section apply to all equipment for which the applicable subpart requires monitoring with a 40 CFR part 60, Appendix A-7, Method 21 monitor, except for closed vent systems, equipment designated as </w:t>
      </w:r>
      <w:proofErr w:type="spellStart"/>
      <w:r w:rsidRPr="001F70F0">
        <w:rPr>
          <w:rFonts w:ascii="Arial" w:eastAsia="Times New Roman" w:hAnsi="Arial" w:cs="Arial"/>
          <w:sz w:val="15"/>
          <w:szCs w:val="15"/>
        </w:rPr>
        <w:t>leakless</w:t>
      </w:r>
      <w:proofErr w:type="spellEnd"/>
      <w:r w:rsidRPr="001F70F0">
        <w:rPr>
          <w:rFonts w:ascii="Arial" w:eastAsia="Times New Roman" w:hAnsi="Arial" w:cs="Arial"/>
          <w:sz w:val="15"/>
          <w:szCs w:val="15"/>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 through (5) of this section have meanings that are specific to the alternative work practice standard in paragraphs (g), (h), and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 </w:t>
      </w:r>
      <w:r w:rsidRPr="001F70F0">
        <w:rPr>
          <w:rFonts w:ascii="Arial" w:eastAsia="Times New Roman" w:hAnsi="Arial" w:cs="Arial"/>
          <w:i/>
          <w:iCs/>
          <w:sz w:val="15"/>
          <w:szCs w:val="15"/>
        </w:rPr>
        <w:t>Applicable subpart</w:t>
      </w:r>
      <w:r w:rsidRPr="001F70F0">
        <w:rPr>
          <w:rFonts w:ascii="Arial" w:eastAsia="Times New Roman" w:hAnsi="Arial" w:cs="Arial"/>
          <w:sz w:val="15"/>
          <w:szCs w:val="15"/>
        </w:rPr>
        <w:t xml:space="preserve"> means the subpart in 40 CFR parts 60, 61, 63, or 65 that requires monitoring of equipment with a 40 CFR part 60, Appendix A-7, Method 21 monitor.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 </w:t>
      </w:r>
      <w:r w:rsidRPr="001F70F0">
        <w:rPr>
          <w:rFonts w:ascii="Arial" w:eastAsia="Times New Roman" w:hAnsi="Arial" w:cs="Arial"/>
          <w:i/>
          <w:iCs/>
          <w:sz w:val="15"/>
          <w:szCs w:val="15"/>
        </w:rPr>
        <w:t>Equipment</w:t>
      </w:r>
      <w:r w:rsidRPr="001F70F0">
        <w:rPr>
          <w:rFonts w:ascii="Arial" w:eastAsia="Times New Roman" w:hAnsi="Arial" w:cs="Arial"/>
          <w:sz w:val="15"/>
          <w:szCs w:val="15"/>
        </w:rPr>
        <w:t xml:space="preserve"> means pumps, valves, pressure relief valves, compressors, open-ended lines, flanges, connectors, and other equipment covered by the applicable subpart that require monitoring with a 40 CFR part 60, Appendix A-7, Method 21 monitor.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 </w:t>
      </w:r>
      <w:r w:rsidRPr="001F70F0">
        <w:rPr>
          <w:rFonts w:ascii="Arial" w:eastAsia="Times New Roman" w:hAnsi="Arial" w:cs="Arial"/>
          <w:i/>
          <w:iCs/>
          <w:sz w:val="15"/>
          <w:szCs w:val="15"/>
        </w:rPr>
        <w:t>Imaging</w:t>
      </w:r>
      <w:r w:rsidRPr="001F70F0">
        <w:rPr>
          <w:rFonts w:ascii="Arial" w:eastAsia="Times New Roman" w:hAnsi="Arial" w:cs="Arial"/>
          <w:sz w:val="15"/>
          <w:szCs w:val="15"/>
        </w:rPr>
        <w:t xml:space="preserve"> means making visible emissions that may otherwise be invisible to the naked eye.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 </w:t>
      </w:r>
      <w:r w:rsidRPr="001F70F0">
        <w:rPr>
          <w:rFonts w:ascii="Arial" w:eastAsia="Times New Roman" w:hAnsi="Arial" w:cs="Arial"/>
          <w:i/>
          <w:iCs/>
          <w:sz w:val="15"/>
          <w:szCs w:val="15"/>
        </w:rPr>
        <w:t>Optical gas imaging instrument</w:t>
      </w:r>
      <w:r w:rsidRPr="001F70F0">
        <w:rPr>
          <w:rFonts w:ascii="Arial" w:eastAsia="Times New Roman" w:hAnsi="Arial" w:cs="Arial"/>
          <w:sz w:val="15"/>
          <w:szCs w:val="15"/>
        </w:rPr>
        <w:t xml:space="preserve"> means an instrument that makes visible emissions that may otherwise be invisible to the naked eye.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(5) </w:t>
      </w:r>
      <w:r w:rsidRPr="001F70F0">
        <w:rPr>
          <w:rFonts w:ascii="Arial" w:eastAsia="Times New Roman" w:hAnsi="Arial" w:cs="Arial"/>
          <w:i/>
          <w:iCs/>
          <w:sz w:val="15"/>
          <w:szCs w:val="15"/>
        </w:rPr>
        <w:t>Repair</w:t>
      </w:r>
      <w:r w:rsidRPr="001F70F0">
        <w:rPr>
          <w:rFonts w:ascii="Arial" w:eastAsia="Times New Roman" w:hAnsi="Arial" w:cs="Arial"/>
          <w:sz w:val="15"/>
          <w:szCs w:val="15"/>
        </w:rPr>
        <w:t xml:space="preserve"> means that equipment is adjusted, or otherwise altered, in order to eliminate a leak.</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(6) </w:t>
      </w:r>
      <w:r w:rsidRPr="001F70F0">
        <w:rPr>
          <w:rFonts w:ascii="Arial" w:eastAsia="Times New Roman" w:hAnsi="Arial" w:cs="Arial"/>
          <w:i/>
          <w:iCs/>
          <w:sz w:val="15"/>
          <w:szCs w:val="15"/>
        </w:rPr>
        <w:t>Leak</w:t>
      </w:r>
      <w:r w:rsidRPr="001F70F0">
        <w:rPr>
          <w:rFonts w:ascii="Arial" w:eastAsia="Times New Roman" w:hAnsi="Arial" w:cs="Arial"/>
          <w:sz w:val="15"/>
          <w:szCs w:val="15"/>
        </w:rPr>
        <w:t xml:space="preserve"> means:</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Any emissions imaged by the optical gas instrument;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Indications of liquids dripping;</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Indications by a sensor that a seal or barrier fluid system has failed; 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(iv) Screening</w:t>
      </w:r>
      <w:proofErr w:type="gramEnd"/>
      <w:r w:rsidRPr="001F70F0">
        <w:rPr>
          <w:rFonts w:ascii="Arial" w:eastAsia="Times New Roman" w:hAnsi="Arial" w:cs="Arial"/>
          <w:sz w:val="15"/>
          <w:szCs w:val="15"/>
        </w:rPr>
        <w:t xml:space="preserve"> results using a 40 CFR part 60, Appendix A-7, Method 21 monitor that exceed the leak definition in the applicable subpart to which the equipment is subject.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(h) The alternative work practice standard for monitoring equipment for leaks is available to all subparts in 40 CFR parts 60, 61, 63, and 65 that require monitoring of equipment with a 40 CFR part 60, Appendix A-7, Method 21 monitor.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An owner or operator of an affected source subject to CFR parts 60, 61, 63, or 65 can choose to comply with the alternative work practice requirements in paragraph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xml:space="preserve">) of this section instead of using the 40 CFR </w:t>
      </w:r>
      <w:proofErr w:type="gramStart"/>
      <w:r w:rsidRPr="001F70F0">
        <w:rPr>
          <w:rFonts w:ascii="Arial" w:eastAsia="Times New Roman" w:hAnsi="Arial" w:cs="Arial"/>
          <w:sz w:val="15"/>
          <w:szCs w:val="15"/>
        </w:rPr>
        <w:t>part</w:t>
      </w:r>
      <w:proofErr w:type="gramEnd"/>
      <w:r w:rsidRPr="001F70F0">
        <w:rPr>
          <w:rFonts w:ascii="Arial" w:eastAsia="Times New Roman" w:hAnsi="Arial" w:cs="Arial"/>
          <w:sz w:val="15"/>
          <w:szCs w:val="15"/>
        </w:rPr>
        <w:t xml:space="preserve"> 60, Appendix A-7, Method 21 monitor to identify leaking equipment. The owner or operator must document the equipment, process units, and facilities for which the alternative work practice will be used to identify leaks.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Any leak detected when following the leak survey procedure in paragraph (</w:t>
      </w:r>
      <w:proofErr w:type="spellStart"/>
      <w:r w:rsidRPr="001F70F0">
        <w:rPr>
          <w:rFonts w:ascii="Arial" w:eastAsia="Times New Roman" w:hAnsi="Arial" w:cs="Arial"/>
          <w:sz w:val="15"/>
          <w:szCs w:val="15"/>
        </w:rPr>
        <w:t>i</w:t>
      </w:r>
      <w:proofErr w:type="spellEnd"/>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3) of this section must be identified for repair as required in the applicable subpart.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 If the alternative work practice is used to identify leaks, re-screening after an attempted repair of leaking equipment must be conducted using either the alternative work practice or the 40 CFR </w:t>
      </w:r>
      <w:proofErr w:type="gramStart"/>
      <w:r w:rsidRPr="001F70F0">
        <w:rPr>
          <w:rFonts w:ascii="Arial" w:eastAsia="Times New Roman" w:hAnsi="Arial" w:cs="Arial"/>
          <w:sz w:val="15"/>
          <w:szCs w:val="15"/>
        </w:rPr>
        <w:t>part</w:t>
      </w:r>
      <w:proofErr w:type="gramEnd"/>
      <w:r w:rsidRPr="001F70F0">
        <w:rPr>
          <w:rFonts w:ascii="Arial" w:eastAsia="Times New Roman" w:hAnsi="Arial" w:cs="Arial"/>
          <w:sz w:val="15"/>
          <w:szCs w:val="15"/>
        </w:rPr>
        <w:t xml:space="preserve"> 60, Appendix A-7, Method 21 monitor at the leak definition required in the applicable subpart to which the equipment is subject.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The schedule for repair is as required in the applicable subpart.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When this alternative work practice is used for detecting leaking equipment the following are not applicable for the equipment being monitored: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Skip period leak detection and repair;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Quality improvement plans; 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Complying with standards for allowable percentage of valves and pumps to leak.</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When the alternative work practice is used to detect leaking equipment, the regulated equipment in paragraph (h)(1)(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)(4)(vii)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An owner or operator of an affected source who chooses to use the alternative work practice must comply with the requirements of paragraphs (</w:t>
      </w:r>
      <w:proofErr w:type="spellStart"/>
      <w:r w:rsidRPr="001F70F0">
        <w:rPr>
          <w:rFonts w:ascii="Arial" w:eastAsia="Times New Roman" w:hAnsi="Arial" w:cs="Arial"/>
          <w:sz w:val="15"/>
          <w:szCs w:val="15"/>
        </w:rPr>
        <w:t>i</w:t>
      </w:r>
      <w:proofErr w:type="spellEnd"/>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 through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)(5)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Instrument Specifications. The optical gas imaging instrument must comply with the requirements in (</w:t>
      </w:r>
      <w:proofErr w:type="spellStart"/>
      <w:r w:rsidRPr="001F70F0">
        <w:rPr>
          <w:rFonts w:ascii="Arial" w:eastAsia="Times New Roman" w:hAnsi="Arial" w:cs="Arial"/>
          <w:sz w:val="15"/>
          <w:szCs w:val="15"/>
        </w:rPr>
        <w:t>i</w:t>
      </w:r>
      <w:proofErr w:type="spellEnd"/>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and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)(1)(ii) of this section.</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Provide the operator with an image of the potential leak points for each piece of equipment at both the detection sensitivity level and within the distance used in the daily instrument check described in paragraph (</w:t>
      </w:r>
      <w:proofErr w:type="spellStart"/>
      <w:r w:rsidRPr="001F70F0">
        <w:rPr>
          <w:rFonts w:ascii="Arial" w:eastAsia="Times New Roman" w:hAnsi="Arial" w:cs="Arial"/>
          <w:sz w:val="15"/>
          <w:szCs w:val="15"/>
        </w:rPr>
        <w:t>i</w:t>
      </w:r>
      <w:proofErr w:type="spellEnd"/>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2) of this section. The detection sensitivity level depends upon the frequency at which leak monitoring is to be performed.</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Provide a date and time stamp for video records of every monitoring event.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Daily Instrument Check. On a daily basis, and prior to beginning any leak monitoring work, test the optical gas imaging instrument at the mass flow rate determined in paragraph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of this section in accordance with the procedure specified in paragraphs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)(2)(ii) through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)(2)(iv) of this section for each camera configuration used during monitoring (for example, different lenses used), unless an alternative method to demonstrate daily instrument checks has been approved in accordance with paragraph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)(2)(v)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Calculate the mass flow rate to be used in the daily instrument check by following the procedures in paragraphs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)(A) and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)(B)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For a specified population of equipment to be imaged by the instrument, determine the piece of equipment in contact with the lowest mass fraction of chemicals that are detectable, within the distance to be used in paragraph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)(2)(iv)(B) of this section, at or below the standard detection sensitivity level.</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Multiply the standard detection sensitivity level, corresponding to the selected monitoring frequency in Table 1 of subpart A of this part, by the mass fraction of detectable chemicals from the stream identified in paragraph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)(A) of this section to determine the mass flow rate to be used in the daily instrument check, using the following equation.</w:t>
      </w:r>
    </w:p>
    <w:p w:rsidR="001F70F0" w:rsidRPr="001F70F0" w:rsidRDefault="001F70F0" w:rsidP="00335A5D">
      <w:pPr>
        <w:spacing w:after="0" w:line="240" w:lineRule="auto"/>
        <w:rPr>
          <w:rFonts w:ascii="Arial" w:eastAsia="Times New Roman" w:hAnsi="Arial" w:cs="Arial"/>
          <w:sz w:val="15"/>
          <w:szCs w:val="15"/>
        </w:rPr>
      </w:pPr>
      <w:r>
        <w:rPr>
          <w:rFonts w:ascii="Arial" w:eastAsia="Times New Roman" w:hAnsi="Arial" w:cs="Arial"/>
          <w:noProof/>
          <w:sz w:val="15"/>
          <w:szCs w:val="15"/>
        </w:rPr>
        <w:drawing>
          <wp:inline distT="0" distB="0" distL="0" distR="0">
            <wp:extent cx="819150" cy="343535"/>
            <wp:effectExtent l="19050" t="0" r="0" b="0"/>
            <wp:docPr id="24" name="Picture 24"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22de08.007.gif"/>
                    <pic:cNvPicPr>
                      <a:picLocks noChangeAspect="1" noChangeArrowheads="1"/>
                    </pic:cNvPicPr>
                  </pic:nvPicPr>
                  <pic:blipFill>
                    <a:blip r:embed="rId11" cstate="print"/>
                    <a:srcRect/>
                    <a:stretch>
                      <a:fillRect/>
                    </a:stretch>
                  </pic:blipFill>
                  <pic:spPr bwMode="auto">
                    <a:xfrm>
                      <a:off x="0" y="0"/>
                      <a:ext cx="819150" cy="343535"/>
                    </a:xfrm>
                    <a:prstGeom prst="rect">
                      <a:avLst/>
                    </a:prstGeom>
                    <a:noFill/>
                    <a:ln w="9525">
                      <a:noFill/>
                      <a:miter lim="800000"/>
                      <a:headEnd/>
                      <a:tailEnd/>
                    </a:ln>
                  </pic:spPr>
                </pic:pic>
              </a:graphicData>
            </a:graphic>
          </wp:inline>
        </w:drawing>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Where:</w:t>
      </w:r>
    </w:p>
    <w:p w:rsidR="001F70F0" w:rsidRPr="001F70F0" w:rsidRDefault="001F70F0" w:rsidP="00335A5D">
      <w:pPr>
        <w:spacing w:before="200" w:after="100" w:line="240" w:lineRule="auto"/>
        <w:ind w:left="960" w:hanging="960"/>
        <w:rPr>
          <w:rFonts w:ascii="Arial" w:eastAsia="Times New Roman" w:hAnsi="Arial" w:cs="Arial"/>
          <w:sz w:val="14"/>
          <w:szCs w:val="14"/>
        </w:rPr>
      </w:pPr>
      <w:proofErr w:type="spellStart"/>
      <w:r w:rsidRPr="001F70F0">
        <w:rPr>
          <w:rFonts w:ascii="Arial" w:eastAsia="Times New Roman" w:hAnsi="Arial" w:cs="Arial"/>
          <w:sz w:val="14"/>
          <w:szCs w:val="14"/>
        </w:rPr>
        <w:t>E</w:t>
      </w:r>
      <w:r w:rsidRPr="001F70F0">
        <w:rPr>
          <w:rFonts w:ascii="Arial" w:eastAsia="Times New Roman" w:hAnsi="Arial" w:cs="Arial"/>
          <w:sz w:val="10"/>
          <w:szCs w:val="10"/>
          <w:vertAlign w:val="subscript"/>
        </w:rPr>
        <w:t>dic</w:t>
      </w:r>
      <w:proofErr w:type="spellEnd"/>
      <w:r w:rsidRPr="001F70F0">
        <w:rPr>
          <w:rFonts w:ascii="Arial" w:eastAsia="Times New Roman" w:hAnsi="Arial" w:cs="Arial"/>
          <w:sz w:val="14"/>
          <w:szCs w:val="14"/>
        </w:rPr>
        <w:t xml:space="preserve"> = Mass flow rate for the daily instrument check, grams per hour</w:t>
      </w:r>
    </w:p>
    <w:p w:rsidR="001F70F0" w:rsidRPr="001F70F0" w:rsidRDefault="001F70F0" w:rsidP="00335A5D">
      <w:pPr>
        <w:spacing w:before="200" w:after="100" w:line="240" w:lineRule="auto"/>
        <w:ind w:left="960" w:hanging="960"/>
        <w:rPr>
          <w:rFonts w:ascii="Arial" w:eastAsia="Times New Roman" w:hAnsi="Arial" w:cs="Arial"/>
          <w:sz w:val="14"/>
          <w:szCs w:val="14"/>
        </w:rPr>
      </w:pPr>
      <w:proofErr w:type="gramStart"/>
      <w:r w:rsidRPr="001F70F0">
        <w:rPr>
          <w:rFonts w:ascii="Arial" w:eastAsia="Times New Roman" w:hAnsi="Arial" w:cs="Arial"/>
          <w:sz w:val="14"/>
          <w:szCs w:val="14"/>
        </w:rPr>
        <w:t>x</w:t>
      </w:r>
      <w:r w:rsidRPr="001F70F0">
        <w:rPr>
          <w:rFonts w:ascii="Arial" w:eastAsia="Times New Roman" w:hAnsi="Arial" w:cs="Arial"/>
          <w:sz w:val="10"/>
          <w:szCs w:val="10"/>
          <w:vertAlign w:val="subscript"/>
        </w:rPr>
        <w:t>i</w:t>
      </w:r>
      <w:proofErr w:type="gramEnd"/>
      <w:r w:rsidRPr="001F70F0">
        <w:rPr>
          <w:rFonts w:ascii="Arial" w:eastAsia="Times New Roman" w:hAnsi="Arial" w:cs="Arial"/>
          <w:sz w:val="14"/>
          <w:szCs w:val="14"/>
        </w:rPr>
        <w:t xml:space="preserve"> = Mass fraction of detectable chemical(s) </w:t>
      </w:r>
      <w:proofErr w:type="spellStart"/>
      <w:r w:rsidRPr="001F70F0">
        <w:rPr>
          <w:rFonts w:ascii="Arial" w:eastAsia="Times New Roman" w:hAnsi="Arial" w:cs="Arial"/>
          <w:sz w:val="14"/>
          <w:szCs w:val="14"/>
        </w:rPr>
        <w:t>i</w:t>
      </w:r>
      <w:proofErr w:type="spellEnd"/>
      <w:r w:rsidRPr="001F70F0">
        <w:rPr>
          <w:rFonts w:ascii="Arial" w:eastAsia="Times New Roman" w:hAnsi="Arial" w:cs="Arial"/>
          <w:sz w:val="14"/>
          <w:szCs w:val="14"/>
        </w:rPr>
        <w:t xml:space="preserve"> seen by the optical gas imaging instrument, within the distance to be used in paragraph (</w:t>
      </w:r>
      <w:proofErr w:type="spellStart"/>
      <w:r w:rsidRPr="001F70F0">
        <w:rPr>
          <w:rFonts w:ascii="Arial" w:eastAsia="Times New Roman" w:hAnsi="Arial" w:cs="Arial"/>
          <w:sz w:val="14"/>
          <w:szCs w:val="14"/>
        </w:rPr>
        <w:t>i</w:t>
      </w:r>
      <w:proofErr w:type="spellEnd"/>
      <w:r w:rsidRPr="001F70F0">
        <w:rPr>
          <w:rFonts w:ascii="Arial" w:eastAsia="Times New Roman" w:hAnsi="Arial" w:cs="Arial"/>
          <w:sz w:val="14"/>
          <w:szCs w:val="14"/>
        </w:rPr>
        <w:t>)(2)(iv)(B) of this section, at or below the standard detection sensitivity level, E</w:t>
      </w:r>
      <w:r w:rsidRPr="001F70F0">
        <w:rPr>
          <w:rFonts w:ascii="Arial" w:eastAsia="Times New Roman" w:hAnsi="Arial" w:cs="Arial"/>
          <w:sz w:val="10"/>
          <w:szCs w:val="10"/>
          <w:vertAlign w:val="subscript"/>
        </w:rPr>
        <w:t>sds</w:t>
      </w:r>
      <w:r w:rsidRPr="001F70F0">
        <w:rPr>
          <w:rFonts w:ascii="Arial" w:eastAsia="Times New Roman" w:hAnsi="Arial" w:cs="Arial"/>
          <w:sz w:val="14"/>
          <w:szCs w:val="14"/>
        </w:rPr>
        <w:t xml:space="preserve"> .</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E</w:t>
      </w:r>
      <w:r w:rsidRPr="001F70F0">
        <w:rPr>
          <w:rFonts w:ascii="Arial" w:eastAsia="Times New Roman" w:hAnsi="Arial" w:cs="Arial"/>
          <w:sz w:val="10"/>
          <w:szCs w:val="10"/>
          <w:vertAlign w:val="subscript"/>
        </w:rPr>
        <w:t>sds</w:t>
      </w:r>
      <w:r w:rsidRPr="001F70F0">
        <w:rPr>
          <w:rFonts w:ascii="Arial" w:eastAsia="Times New Roman" w:hAnsi="Arial" w:cs="Arial"/>
          <w:sz w:val="14"/>
          <w:szCs w:val="14"/>
        </w:rPr>
        <w:t xml:space="preserve"> = Standard detection sensitivity level from Table 1 to subpart A, grams per hour</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k = Total number of detectable chemicals emitted from the leaking equipment and seen by the optical gas imaging instrument.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Start the optical gas imaging instrument according to the manufacturer's instructions, ensuring that all appropriate settings conform to the manufacturer's instructions.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Use any gas chosen by the user that can be viewed by the optical gas imaging instrument and that has a purity of no less than 98 percent.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(iv) Establish</w:t>
      </w:r>
      <w:proofErr w:type="gramEnd"/>
      <w:r w:rsidRPr="001F70F0">
        <w:rPr>
          <w:rFonts w:ascii="Arial" w:eastAsia="Times New Roman" w:hAnsi="Arial" w:cs="Arial"/>
          <w:sz w:val="15"/>
          <w:szCs w:val="15"/>
        </w:rPr>
        <w:t xml:space="preserve"> a mass flow rate by using the following procedures: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Provide a source of gas where it will be in the field of view of the optical gas imaging instrument.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Set up the optical gas imaging instrument at a recorded distance from the outlet or leak orifice of the flow meter that will not be exceeded in the actual performance of the leak survey. Do not exceed the operating parameters of the flow meter.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Open the valve on the flow meter to set a flow rate that will create a mass emission rate equal to the mass rate specified in paragraph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of this section while observing the gas flow through the optical gas imaging instrument viewfinder. When an image of the gas emission is seen through the viewfinder at the required emission rate, make a record of the reading on the flow meter.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Repeat the procedures specified in paragraphs (</w:t>
      </w:r>
      <w:proofErr w:type="spellStart"/>
      <w:r w:rsidRPr="001F70F0">
        <w:rPr>
          <w:rFonts w:ascii="Arial" w:eastAsia="Times New Roman" w:hAnsi="Arial" w:cs="Arial"/>
          <w:sz w:val="15"/>
          <w:szCs w:val="15"/>
        </w:rPr>
        <w:t>i</w:t>
      </w:r>
      <w:proofErr w:type="spellEnd"/>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2)(ii) through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)(2)(iv) of this section for each configuration of the optical gas imaging instrument used during the leak survey.</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(vi) To</w:t>
      </w:r>
      <w:proofErr w:type="gramEnd"/>
      <w:r w:rsidRPr="001F70F0">
        <w:rPr>
          <w:rFonts w:ascii="Arial" w:eastAsia="Times New Roman" w:hAnsi="Arial" w:cs="Arial"/>
          <w:sz w:val="15"/>
          <w:szCs w:val="15"/>
        </w:rPr>
        <w:t xml:space="preserve"> use an alternative method to demonstrate daily instrument checks, apply to the Administrator for approval of the alternative under § 60.13(</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Recordkeeping. You must keep the records described in paragraphs (</w:t>
      </w:r>
      <w:proofErr w:type="spellStart"/>
      <w:r w:rsidRPr="001F70F0">
        <w:rPr>
          <w:rFonts w:ascii="Arial" w:eastAsia="Times New Roman" w:hAnsi="Arial" w:cs="Arial"/>
          <w:sz w:val="15"/>
          <w:szCs w:val="15"/>
        </w:rPr>
        <w:t>i</w:t>
      </w:r>
      <w:proofErr w:type="spellEnd"/>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4)(</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through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)(4)(vii)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xml:space="preserve">) The </w:t>
      </w:r>
      <w:proofErr w:type="gramStart"/>
      <w:r w:rsidRPr="001F70F0">
        <w:rPr>
          <w:rFonts w:ascii="Arial" w:eastAsia="Times New Roman" w:hAnsi="Arial" w:cs="Arial"/>
          <w:sz w:val="15"/>
          <w:szCs w:val="15"/>
        </w:rPr>
        <w:t>equipment,</w:t>
      </w:r>
      <w:proofErr w:type="gramEnd"/>
      <w:r w:rsidRPr="001F70F0">
        <w:rPr>
          <w:rFonts w:ascii="Arial" w:eastAsia="Times New Roman" w:hAnsi="Arial" w:cs="Arial"/>
          <w:sz w:val="15"/>
          <w:szCs w:val="15"/>
        </w:rPr>
        <w:t xml:space="preserve"> processes, and facilities for which the owner or operator chooses to use the alternative work practice.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The detection sensitivity level selected from Table 1 to subpart A of this part for the optical gas imaging instrument.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The analysis to determine the piece of equipment in contact with the lowest mass fraction of chemicals that are detectable, as specified in paragraph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)(A)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(iv) The technical basis for the mass fraction of detectable chemicals used in the equation in paragraph (</w:t>
      </w:r>
      <w:proofErr w:type="spellStart"/>
      <w:r w:rsidRPr="001F70F0">
        <w:rPr>
          <w:rFonts w:ascii="Arial" w:eastAsia="Times New Roman" w:hAnsi="Arial" w:cs="Arial"/>
          <w:sz w:val="15"/>
          <w:szCs w:val="15"/>
        </w:rPr>
        <w:t>i</w:t>
      </w:r>
      <w:proofErr w:type="spellEnd"/>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2)(</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)(B)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The daily instrument check. Record the distance, per paragraph (</w:t>
      </w:r>
      <w:proofErr w:type="spellStart"/>
      <w:r w:rsidRPr="001F70F0">
        <w:rPr>
          <w:rFonts w:ascii="Arial" w:eastAsia="Times New Roman" w:hAnsi="Arial" w:cs="Arial"/>
          <w:sz w:val="15"/>
          <w:szCs w:val="15"/>
        </w:rPr>
        <w:t>i</w:t>
      </w:r>
      <w:proofErr w:type="spellEnd"/>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2)(iv)(B) of this section, and the flow meter reading, per paragraph (</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roofErr w:type="gramStart"/>
      <w:r w:rsidRPr="001F70F0">
        <w:rPr>
          <w:rFonts w:ascii="Arial" w:eastAsia="Times New Roman" w:hAnsi="Arial" w:cs="Arial"/>
          <w:sz w:val="15"/>
          <w:szCs w:val="15"/>
        </w:rPr>
        <w:t>(vi) Recordkeeping</w:t>
      </w:r>
      <w:proofErr w:type="gramEnd"/>
      <w:r w:rsidRPr="001F70F0">
        <w:rPr>
          <w:rFonts w:ascii="Arial" w:eastAsia="Times New Roman" w:hAnsi="Arial" w:cs="Arial"/>
          <w:sz w:val="15"/>
          <w:szCs w:val="15"/>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 The results of the annual Method 21 screening required in paragraph (h</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7) of this section. Records must be kept for all regulated equipment specified in paragraph (h</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1) of this section. Records must identify the equipment screened, the screening value measured by Method 21, the time and date of the screening, and calibration information required in the existing applicable subpart.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Reporting. Submit the reports required in the applicable subpart. Submit the records of the annual Method 21 screening required in paragraph (h</w:t>
      </w:r>
      <w:proofErr w:type="gramStart"/>
      <w:r w:rsidRPr="001F70F0">
        <w:rPr>
          <w:rFonts w:ascii="Arial" w:eastAsia="Times New Roman" w:hAnsi="Arial" w:cs="Arial"/>
          <w:sz w:val="15"/>
          <w:szCs w:val="15"/>
        </w:rPr>
        <w:t>)(</w:t>
      </w:r>
      <w:proofErr w:type="gramEnd"/>
      <w:r w:rsidRPr="001F70F0">
        <w:rPr>
          <w:rFonts w:ascii="Arial" w:eastAsia="Times New Roman" w:hAnsi="Arial" w:cs="Arial"/>
          <w:sz w:val="15"/>
          <w:szCs w:val="15"/>
        </w:rPr>
        <w:t xml:space="preserve">7) of this section to the Administrator via e-mail to </w:t>
      </w:r>
      <w:r w:rsidRPr="001F70F0">
        <w:rPr>
          <w:rFonts w:ascii="Arial" w:eastAsia="Times New Roman" w:hAnsi="Arial" w:cs="Arial"/>
          <w:i/>
          <w:iCs/>
          <w:sz w:val="15"/>
          <w:szCs w:val="15"/>
        </w:rPr>
        <w:t>CCG-AWP@EPA.GOV.</w:t>
      </w:r>
      <w:r w:rsidRPr="001F70F0">
        <w:rPr>
          <w:rFonts w:ascii="Arial" w:eastAsia="Times New Roman" w:hAnsi="Arial" w:cs="Arial"/>
          <w:sz w:val="15"/>
          <w:szCs w:val="15"/>
        </w:rPr>
        <w:t xml:space="preserve"> </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[51 FR 2701, Jan. 21, 1986, as amended at 63 FR 24444, May 4, 1998; 65 FR 61752, Oct. 17, 2000; 73 FR 78209, Dec. 22, 2008]</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9" w:name="40:7.0.1.1.1.1.151.19"/>
      <w:bookmarkEnd w:id="19"/>
      <w:r w:rsidRPr="001F70F0">
        <w:rPr>
          <w:rFonts w:ascii="Arial" w:eastAsia="Times New Roman" w:hAnsi="Arial" w:cs="Arial"/>
          <w:b/>
          <w:bCs/>
          <w:sz w:val="15"/>
          <w:szCs w:val="15"/>
        </w:rPr>
        <w:t>§ 60.19   General notification and reporting requirements.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For the purposes of this part, time periods specified in days shall be measured in calendar days, even if the word “calendar” is absent, unless otherwise specified in an applicable requirement.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1F70F0">
        <w:rPr>
          <w:rFonts w:ascii="Arial" w:eastAsia="Times New Roman" w:hAnsi="Arial" w:cs="Arial"/>
          <w:sz w:val="15"/>
          <w:szCs w:val="15"/>
        </w:rPr>
        <w:t>ies</w:t>
      </w:r>
      <w:proofErr w:type="spellEnd"/>
      <w:r w:rsidRPr="001F70F0">
        <w:rPr>
          <w:rFonts w:ascii="Arial" w:eastAsia="Times New Roman" w:hAnsi="Arial" w:cs="Arial"/>
          <w:sz w:val="15"/>
          <w:szCs w:val="15"/>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sidRPr="001F70F0">
        <w:rPr>
          <w:rFonts w:ascii="Arial" w:eastAsia="Times New Roman" w:hAnsi="Arial" w:cs="Arial"/>
          <w:sz w:val="15"/>
          <w:szCs w:val="15"/>
        </w:rPr>
        <w:t>part</w:t>
      </w:r>
      <w:proofErr w:type="gramEnd"/>
      <w:r w:rsidRPr="001F70F0">
        <w:rPr>
          <w:rFonts w:ascii="Arial" w:eastAsia="Times New Roman" w:hAnsi="Arial" w:cs="Arial"/>
          <w:sz w:val="15"/>
          <w:szCs w:val="15"/>
        </w:rPr>
        <w:t xml:space="preserve"> 61 or part 63 of this chapter standard, whichever is latest. Procedures governing the implementation of this provision are specified in paragraph (f)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(f)(1)(</w:t>
      </w:r>
      <w:proofErr w:type="spellStart"/>
      <w:r w:rsidRPr="001F70F0">
        <w:rPr>
          <w:rFonts w:ascii="Arial" w:eastAsia="Times New Roman" w:hAnsi="Arial" w:cs="Arial"/>
          <w:sz w:val="15"/>
          <w:szCs w:val="15"/>
        </w:rPr>
        <w:t>i</w:t>
      </w:r>
      <w:proofErr w:type="spellEnd"/>
      <w:r w:rsidRPr="001F70F0">
        <w:rPr>
          <w:rFonts w:ascii="Arial" w:eastAsia="Times New Roman" w:hAnsi="Arial" w:cs="Arial"/>
          <w:sz w:val="15"/>
          <w:szCs w:val="15"/>
        </w:rPr>
        <w:t>) Until an adjustment of a time period or postmark deadline has been approved by the Administrator under paragraphs (f)(2) and (f)(3) of this section, the owner or operator of an affected facility remains strictly subject to the requirements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An owner or operator shall request the adjustment provided for in paragraphs (f)(2) and (f)(3) of this section each time he or she wishes to change an applicable time period or postmark deadline specified in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If the Administrator is unable to meet a specified deadline, he or she will notify the owner or operator of any significant delay and inform the owner or operator of the amended schedule.</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[59 FR 12428, Mar. 16, 1994, as amended at 64 FR 7463, Feb. 12, 1998]</w:t>
      </w:r>
    </w:p>
    <w:p w:rsidR="001F70F0" w:rsidRPr="001F70F0" w:rsidRDefault="001F70F0" w:rsidP="001F70F0">
      <w:pPr>
        <w:spacing w:before="200" w:line="240" w:lineRule="auto"/>
        <w:outlineLvl w:val="1"/>
        <w:rPr>
          <w:rFonts w:ascii="Arial" w:eastAsia="Times New Roman" w:hAnsi="Arial" w:cs="Arial"/>
          <w:b/>
          <w:bCs/>
          <w:sz w:val="15"/>
          <w:szCs w:val="15"/>
        </w:rPr>
      </w:pPr>
      <w:bookmarkStart w:id="20" w:name="40:7.0.1.1.1.1.151.20.1"/>
      <w:bookmarkEnd w:id="20"/>
      <w:r w:rsidRPr="001F70F0">
        <w:rPr>
          <w:rFonts w:ascii="Arial" w:eastAsia="Times New Roman" w:hAnsi="Arial" w:cs="Arial"/>
          <w:b/>
          <w:bCs/>
          <w:sz w:val="15"/>
          <w:szCs w:val="15"/>
        </w:rPr>
        <w:t>Table 1 to Subpart A of Part 60-Detection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404"/>
        <w:gridCol w:w="3986"/>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Monitoring frequency per subpart </w:t>
            </w:r>
            <w:r w:rsidRPr="001F70F0">
              <w:rPr>
                <w:rFonts w:ascii="Arial" w:eastAsia="Times New Roman" w:hAnsi="Arial" w:cs="Arial"/>
                <w:b/>
                <w:bCs/>
                <w:sz w:val="15"/>
                <w:szCs w:val="15"/>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Detection sensitivity level</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60</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85</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100</w:t>
            </w:r>
          </w:p>
        </w:tc>
      </w:tr>
    </w:tbl>
    <w:p w:rsidR="001F70F0" w:rsidRPr="001F70F0" w:rsidRDefault="001F70F0" w:rsidP="002257E3">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a</w:t>
      </w:r>
      <w:r w:rsidRPr="001F70F0">
        <w:rPr>
          <w:rFonts w:ascii="Arial" w:eastAsia="Times New Roman" w:hAnsi="Arial" w:cs="Arial"/>
          <w:sz w:val="15"/>
          <w:szCs w:val="15"/>
        </w:rPr>
        <w:t xml:space="preserve">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1F70F0">
        <w:rPr>
          <w:rFonts w:ascii="Arial" w:eastAsia="Times New Roman" w:hAnsi="Arial" w:cs="Arial"/>
          <w:sz w:val="15"/>
          <w:szCs w:val="15"/>
        </w:rPr>
        <w:t>Monthly means once per month.</w:t>
      </w:r>
      <w:proofErr w:type="gramEnd"/>
    </w:p>
    <w:p w:rsidR="001F70F0" w:rsidRPr="001F70F0" w:rsidRDefault="001F70F0" w:rsidP="002257E3">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[73 FR 78211, Dec. 22, 2008]</w:t>
      </w:r>
    </w:p>
    <w:p w:rsidR="00131C69" w:rsidRDefault="00131C69"/>
    <w:sectPr w:rsidR="00131C69" w:rsidSect="00131C69">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58A" w:rsidRDefault="0061558A" w:rsidP="001F70F0">
      <w:pPr>
        <w:spacing w:after="0" w:line="240" w:lineRule="auto"/>
      </w:pPr>
      <w:r>
        <w:separator/>
      </w:r>
    </w:p>
  </w:endnote>
  <w:endnote w:type="continuationSeparator" w:id="0">
    <w:p w:rsidR="0061558A" w:rsidRDefault="0061558A" w:rsidP="001F70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11719"/>
      <w:docPartObj>
        <w:docPartGallery w:val="Page Numbers (Bottom of Page)"/>
        <w:docPartUnique/>
      </w:docPartObj>
    </w:sdtPr>
    <w:sdtContent>
      <w:p w:rsidR="0061558A" w:rsidRDefault="0061558A">
        <w:pPr>
          <w:pStyle w:val="Footer"/>
          <w:jc w:val="center"/>
        </w:pPr>
        <w:fldSimple w:instr=" PAGE   \* MERGEFORMAT ">
          <w:r w:rsidR="00335A5D">
            <w:rPr>
              <w:noProof/>
            </w:rPr>
            <w:t>85</w:t>
          </w:r>
        </w:fldSimple>
      </w:p>
    </w:sdtContent>
  </w:sdt>
  <w:p w:rsidR="0061558A" w:rsidRDefault="006155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58A" w:rsidRDefault="0061558A" w:rsidP="001F70F0">
      <w:pPr>
        <w:spacing w:after="0" w:line="240" w:lineRule="auto"/>
      </w:pPr>
      <w:r>
        <w:separator/>
      </w:r>
    </w:p>
  </w:footnote>
  <w:footnote w:type="continuationSeparator" w:id="0">
    <w:p w:rsidR="0061558A" w:rsidRDefault="0061558A" w:rsidP="001F70F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1F70F0"/>
    <w:rsid w:val="00131C69"/>
    <w:rsid w:val="001F70F0"/>
    <w:rsid w:val="002257E3"/>
    <w:rsid w:val="002D4F66"/>
    <w:rsid w:val="00335A5D"/>
    <w:rsid w:val="00615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C69"/>
  </w:style>
  <w:style w:type="paragraph" w:styleId="Heading1">
    <w:name w:val="heading 1"/>
    <w:basedOn w:val="Normal"/>
    <w:link w:val="Heading1Char"/>
    <w:uiPriority w:val="9"/>
    <w:qFormat/>
    <w:rsid w:val="001F70F0"/>
    <w:pPr>
      <w:spacing w:before="200" w:after="100" w:line="240" w:lineRule="auto"/>
      <w:jc w:val="center"/>
      <w:outlineLvl w:val="0"/>
    </w:pPr>
    <w:rPr>
      <w:rFonts w:ascii="Times New Roman" w:eastAsia="Times New Roman" w:hAnsi="Times New Roman" w:cs="Times New Roman"/>
      <w:b/>
      <w:bCs/>
      <w:kern w:val="36"/>
      <w:sz w:val="15"/>
      <w:szCs w:val="15"/>
    </w:rPr>
  </w:style>
  <w:style w:type="paragraph" w:styleId="Heading2">
    <w:name w:val="heading 2"/>
    <w:basedOn w:val="Normal"/>
    <w:link w:val="Heading2Char"/>
    <w:uiPriority w:val="9"/>
    <w:qFormat/>
    <w:rsid w:val="001F70F0"/>
    <w:pPr>
      <w:spacing w:before="200" w:after="100" w:line="240" w:lineRule="auto"/>
      <w:jc w:val="center"/>
      <w:outlineLvl w:val="1"/>
    </w:pPr>
    <w:rPr>
      <w:rFonts w:ascii="Times New Roman" w:eastAsia="Times New Roman" w:hAnsi="Times New Roman" w:cs="Times New Roman"/>
      <w:b/>
      <w:bCs/>
      <w:sz w:val="15"/>
      <w:szCs w:val="15"/>
    </w:rPr>
  </w:style>
  <w:style w:type="paragraph" w:styleId="Heading3">
    <w:name w:val="heading 3"/>
    <w:basedOn w:val="Normal"/>
    <w:link w:val="Heading3Char"/>
    <w:uiPriority w:val="9"/>
    <w:qFormat/>
    <w:rsid w:val="001F70F0"/>
    <w:pPr>
      <w:spacing w:before="200" w:after="100" w:line="240" w:lineRule="auto"/>
      <w:jc w:val="center"/>
      <w:outlineLvl w:val="2"/>
    </w:pPr>
    <w:rPr>
      <w:rFonts w:ascii="Times New Roman" w:eastAsia="Times New Roman" w:hAnsi="Times New Roman" w:cs="Times New Roman"/>
      <w:b/>
      <w:bCs/>
      <w:sz w:val="15"/>
      <w:szCs w:val="15"/>
    </w:rPr>
  </w:style>
  <w:style w:type="paragraph" w:styleId="Heading4">
    <w:name w:val="heading 4"/>
    <w:basedOn w:val="Normal"/>
    <w:link w:val="Heading4Char"/>
    <w:uiPriority w:val="9"/>
    <w:qFormat/>
    <w:rsid w:val="001F70F0"/>
    <w:pPr>
      <w:spacing w:before="200" w:after="100" w:line="240" w:lineRule="auto"/>
      <w:jc w:val="center"/>
      <w:outlineLvl w:val="3"/>
    </w:pPr>
    <w:rPr>
      <w:rFonts w:ascii="Times New Roman" w:eastAsia="Times New Roman" w:hAnsi="Times New Roman" w:cs="Times New Roman"/>
      <w:b/>
      <w:bCs/>
      <w:sz w:val="15"/>
      <w:szCs w:val="15"/>
    </w:rPr>
  </w:style>
  <w:style w:type="paragraph" w:styleId="Heading5">
    <w:name w:val="heading 5"/>
    <w:basedOn w:val="Normal"/>
    <w:link w:val="Heading5Char"/>
    <w:uiPriority w:val="9"/>
    <w:qFormat/>
    <w:rsid w:val="001F70F0"/>
    <w:pPr>
      <w:spacing w:before="200" w:after="100" w:line="240" w:lineRule="auto"/>
      <w:jc w:val="center"/>
      <w:outlineLvl w:val="4"/>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70F0"/>
    <w:rPr>
      <w:rFonts w:ascii="Times New Roman" w:eastAsia="Times New Roman" w:hAnsi="Times New Roman" w:cs="Times New Roman"/>
      <w:b/>
      <w:bCs/>
      <w:kern w:val="36"/>
      <w:sz w:val="15"/>
      <w:szCs w:val="15"/>
    </w:rPr>
  </w:style>
  <w:style w:type="character" w:customStyle="1" w:styleId="Heading2Char">
    <w:name w:val="Heading 2 Char"/>
    <w:basedOn w:val="DefaultParagraphFont"/>
    <w:link w:val="Heading2"/>
    <w:uiPriority w:val="9"/>
    <w:rsid w:val="001F70F0"/>
    <w:rPr>
      <w:rFonts w:ascii="Times New Roman" w:eastAsia="Times New Roman" w:hAnsi="Times New Roman" w:cs="Times New Roman"/>
      <w:b/>
      <w:bCs/>
      <w:sz w:val="15"/>
      <w:szCs w:val="15"/>
    </w:rPr>
  </w:style>
  <w:style w:type="character" w:customStyle="1" w:styleId="Heading3Char">
    <w:name w:val="Heading 3 Char"/>
    <w:basedOn w:val="DefaultParagraphFont"/>
    <w:link w:val="Heading3"/>
    <w:uiPriority w:val="9"/>
    <w:rsid w:val="001F70F0"/>
    <w:rPr>
      <w:rFonts w:ascii="Times New Roman" w:eastAsia="Times New Roman" w:hAnsi="Times New Roman" w:cs="Times New Roman"/>
      <w:b/>
      <w:bCs/>
      <w:sz w:val="15"/>
      <w:szCs w:val="15"/>
    </w:rPr>
  </w:style>
  <w:style w:type="character" w:customStyle="1" w:styleId="Heading4Char">
    <w:name w:val="Heading 4 Char"/>
    <w:basedOn w:val="DefaultParagraphFont"/>
    <w:link w:val="Heading4"/>
    <w:uiPriority w:val="9"/>
    <w:rsid w:val="001F70F0"/>
    <w:rPr>
      <w:rFonts w:ascii="Times New Roman" w:eastAsia="Times New Roman" w:hAnsi="Times New Roman" w:cs="Times New Roman"/>
      <w:b/>
      <w:bCs/>
      <w:sz w:val="15"/>
      <w:szCs w:val="15"/>
    </w:rPr>
  </w:style>
  <w:style w:type="character" w:customStyle="1" w:styleId="Heading5Char">
    <w:name w:val="Heading 5 Char"/>
    <w:basedOn w:val="DefaultParagraphFont"/>
    <w:link w:val="Heading5"/>
    <w:uiPriority w:val="9"/>
    <w:rsid w:val="001F70F0"/>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F70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0F0"/>
    <w:rPr>
      <w:rFonts w:ascii="Tahoma" w:hAnsi="Tahoma" w:cs="Tahoma"/>
      <w:sz w:val="16"/>
      <w:szCs w:val="16"/>
    </w:rPr>
  </w:style>
  <w:style w:type="paragraph" w:styleId="Header">
    <w:name w:val="header"/>
    <w:basedOn w:val="Normal"/>
    <w:link w:val="HeaderChar"/>
    <w:uiPriority w:val="99"/>
    <w:semiHidden/>
    <w:unhideWhenUsed/>
    <w:rsid w:val="001F70F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F70F0"/>
  </w:style>
  <w:style w:type="paragraph" w:styleId="Footer">
    <w:name w:val="footer"/>
    <w:basedOn w:val="Normal"/>
    <w:link w:val="FooterChar"/>
    <w:uiPriority w:val="99"/>
    <w:unhideWhenUsed/>
    <w:rsid w:val="001F7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0F0"/>
  </w:style>
</w:styles>
</file>

<file path=word/webSettings.xml><?xml version="1.0" encoding="utf-8"?>
<w:webSettings xmlns:r="http://schemas.openxmlformats.org/officeDocument/2006/relationships" xmlns:w="http://schemas.openxmlformats.org/wordprocessingml/2006/main">
  <w:divs>
    <w:div w:id="850294359">
      <w:bodyDiv w:val="1"/>
      <w:marLeft w:val="0"/>
      <w:marRight w:val="0"/>
      <w:marTop w:val="23"/>
      <w:marBottom w:val="576"/>
      <w:divBdr>
        <w:top w:val="none" w:sz="0" w:space="0" w:color="auto"/>
        <w:left w:val="none" w:sz="0" w:space="0" w:color="auto"/>
        <w:bottom w:val="none" w:sz="0" w:space="0" w:color="auto"/>
        <w:right w:val="none" w:sz="0" w:space="0" w:color="auto"/>
      </w:divBdr>
      <w:divsChild>
        <w:div w:id="1626884950">
          <w:marLeft w:val="0"/>
          <w:marRight w:val="0"/>
          <w:marTop w:val="0"/>
          <w:marBottom w:val="0"/>
          <w:divBdr>
            <w:top w:val="none" w:sz="0" w:space="0" w:color="auto"/>
            <w:left w:val="none" w:sz="0" w:space="0" w:color="auto"/>
            <w:bottom w:val="none" w:sz="0" w:space="0" w:color="auto"/>
            <w:right w:val="none" w:sz="0" w:space="0" w:color="auto"/>
          </w:divBdr>
          <w:divsChild>
            <w:div w:id="1209994934">
              <w:marLeft w:val="0"/>
              <w:marRight w:val="0"/>
              <w:marTop w:val="0"/>
              <w:marBottom w:val="0"/>
              <w:divBdr>
                <w:top w:val="none" w:sz="0" w:space="0" w:color="auto"/>
                <w:left w:val="none" w:sz="0" w:space="0" w:color="auto"/>
                <w:bottom w:val="none" w:sz="0" w:space="0" w:color="auto"/>
                <w:right w:val="none" w:sz="0" w:space="0" w:color="auto"/>
              </w:divBdr>
            </w:div>
            <w:div w:id="1488398523">
              <w:marLeft w:val="0"/>
              <w:marRight w:val="0"/>
              <w:marTop w:val="0"/>
              <w:marBottom w:val="0"/>
              <w:divBdr>
                <w:top w:val="none" w:sz="0" w:space="0" w:color="auto"/>
                <w:left w:val="none" w:sz="0" w:space="0" w:color="auto"/>
                <w:bottom w:val="none" w:sz="0" w:space="0" w:color="auto"/>
                <w:right w:val="none" w:sz="0" w:space="0" w:color="auto"/>
              </w:divBdr>
            </w:div>
            <w:div w:id="281351976">
              <w:marLeft w:val="0"/>
              <w:marRight w:val="0"/>
              <w:marTop w:val="0"/>
              <w:marBottom w:val="0"/>
              <w:divBdr>
                <w:top w:val="none" w:sz="0" w:space="0" w:color="auto"/>
                <w:left w:val="none" w:sz="0" w:space="0" w:color="auto"/>
                <w:bottom w:val="none" w:sz="0" w:space="0" w:color="auto"/>
                <w:right w:val="none" w:sz="0" w:space="0" w:color="auto"/>
              </w:divBdr>
            </w:div>
            <w:div w:id="1842546518">
              <w:marLeft w:val="0"/>
              <w:marRight w:val="0"/>
              <w:marTop w:val="0"/>
              <w:marBottom w:val="0"/>
              <w:divBdr>
                <w:top w:val="none" w:sz="0" w:space="0" w:color="auto"/>
                <w:left w:val="none" w:sz="0" w:space="0" w:color="auto"/>
                <w:bottom w:val="none" w:sz="0" w:space="0" w:color="auto"/>
                <w:right w:val="none" w:sz="0" w:space="0" w:color="auto"/>
              </w:divBdr>
            </w:div>
            <w:div w:id="1960182906">
              <w:marLeft w:val="0"/>
              <w:marRight w:val="0"/>
              <w:marTop w:val="0"/>
              <w:marBottom w:val="0"/>
              <w:divBdr>
                <w:top w:val="none" w:sz="0" w:space="0" w:color="auto"/>
                <w:left w:val="none" w:sz="0" w:space="0" w:color="auto"/>
                <w:bottom w:val="none" w:sz="0" w:space="0" w:color="auto"/>
                <w:right w:val="none" w:sz="0" w:space="0" w:color="auto"/>
              </w:divBdr>
            </w:div>
            <w:div w:id="1031491548">
              <w:marLeft w:val="0"/>
              <w:marRight w:val="0"/>
              <w:marTop w:val="0"/>
              <w:marBottom w:val="0"/>
              <w:divBdr>
                <w:top w:val="none" w:sz="0" w:space="0" w:color="auto"/>
                <w:left w:val="none" w:sz="0" w:space="0" w:color="auto"/>
                <w:bottom w:val="none" w:sz="0" w:space="0" w:color="auto"/>
                <w:right w:val="none" w:sz="0" w:space="0" w:color="auto"/>
              </w:divBdr>
            </w:div>
            <w:div w:id="980503423">
              <w:marLeft w:val="0"/>
              <w:marRight w:val="0"/>
              <w:marTop w:val="0"/>
              <w:marBottom w:val="0"/>
              <w:divBdr>
                <w:top w:val="none" w:sz="0" w:space="0" w:color="auto"/>
                <w:left w:val="none" w:sz="0" w:space="0" w:color="auto"/>
                <w:bottom w:val="none" w:sz="0" w:space="0" w:color="auto"/>
                <w:right w:val="none" w:sz="0" w:space="0" w:color="auto"/>
              </w:divBdr>
            </w:div>
            <w:div w:id="1562788966">
              <w:marLeft w:val="0"/>
              <w:marRight w:val="0"/>
              <w:marTop w:val="0"/>
              <w:marBottom w:val="0"/>
              <w:divBdr>
                <w:top w:val="none" w:sz="0" w:space="0" w:color="auto"/>
                <w:left w:val="none" w:sz="0" w:space="0" w:color="auto"/>
                <w:bottom w:val="none" w:sz="0" w:space="0" w:color="auto"/>
                <w:right w:val="none" w:sz="0" w:space="0" w:color="auto"/>
              </w:divBdr>
            </w:div>
            <w:div w:id="438379020">
              <w:marLeft w:val="0"/>
              <w:marRight w:val="0"/>
              <w:marTop w:val="0"/>
              <w:marBottom w:val="0"/>
              <w:divBdr>
                <w:top w:val="none" w:sz="0" w:space="0" w:color="auto"/>
                <w:left w:val="none" w:sz="0" w:space="0" w:color="auto"/>
                <w:bottom w:val="none" w:sz="0" w:space="0" w:color="auto"/>
                <w:right w:val="none" w:sz="0" w:space="0" w:color="auto"/>
              </w:divBdr>
            </w:div>
            <w:div w:id="918638401">
              <w:marLeft w:val="0"/>
              <w:marRight w:val="0"/>
              <w:marTop w:val="0"/>
              <w:marBottom w:val="0"/>
              <w:divBdr>
                <w:top w:val="none" w:sz="0" w:space="0" w:color="auto"/>
                <w:left w:val="none" w:sz="0" w:space="0" w:color="auto"/>
                <w:bottom w:val="none" w:sz="0" w:space="0" w:color="auto"/>
                <w:right w:val="none" w:sz="0" w:space="0" w:color="auto"/>
              </w:divBdr>
            </w:div>
            <w:div w:id="583994599">
              <w:marLeft w:val="0"/>
              <w:marRight w:val="0"/>
              <w:marTop w:val="0"/>
              <w:marBottom w:val="0"/>
              <w:divBdr>
                <w:top w:val="none" w:sz="0" w:space="0" w:color="auto"/>
                <w:left w:val="none" w:sz="0" w:space="0" w:color="auto"/>
                <w:bottom w:val="none" w:sz="0" w:space="0" w:color="auto"/>
                <w:right w:val="none" w:sz="0" w:space="0" w:color="auto"/>
              </w:divBdr>
              <w:divsChild>
                <w:div w:id="2479494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981763242">
              <w:marLeft w:val="0"/>
              <w:marRight w:val="0"/>
              <w:marTop w:val="0"/>
              <w:marBottom w:val="0"/>
              <w:divBdr>
                <w:top w:val="none" w:sz="0" w:space="0" w:color="auto"/>
                <w:left w:val="none" w:sz="0" w:space="0" w:color="auto"/>
                <w:bottom w:val="none" w:sz="0" w:space="0" w:color="auto"/>
                <w:right w:val="none" w:sz="0" w:space="0" w:color="auto"/>
              </w:divBdr>
              <w:divsChild>
                <w:div w:id="210850519">
                  <w:marLeft w:val="0"/>
                  <w:marRight w:val="0"/>
                  <w:marTop w:val="0"/>
                  <w:marBottom w:val="0"/>
                  <w:divBdr>
                    <w:top w:val="none" w:sz="0" w:space="0" w:color="auto"/>
                    <w:left w:val="none" w:sz="0" w:space="0" w:color="auto"/>
                    <w:bottom w:val="none" w:sz="0" w:space="0" w:color="auto"/>
                    <w:right w:val="none" w:sz="0" w:space="0" w:color="auto"/>
                  </w:divBdr>
                </w:div>
                <w:div w:id="401608008">
                  <w:marLeft w:val="0"/>
                  <w:marRight w:val="0"/>
                  <w:marTop w:val="0"/>
                  <w:marBottom w:val="0"/>
                  <w:divBdr>
                    <w:top w:val="single" w:sz="8" w:space="0" w:color="000000"/>
                    <w:left w:val="single" w:sz="8" w:space="0" w:color="000000"/>
                    <w:bottom w:val="single" w:sz="8" w:space="0" w:color="000000"/>
                    <w:right w:val="single" w:sz="8" w:space="0" w:color="000000"/>
                  </w:divBdr>
                </w:div>
                <w:div w:id="491331749">
                  <w:marLeft w:val="0"/>
                  <w:marRight w:val="0"/>
                  <w:marTop w:val="0"/>
                  <w:marBottom w:val="0"/>
                  <w:divBdr>
                    <w:top w:val="none" w:sz="0" w:space="0" w:color="auto"/>
                    <w:left w:val="none" w:sz="0" w:space="0" w:color="auto"/>
                    <w:bottom w:val="none" w:sz="0" w:space="0" w:color="auto"/>
                    <w:right w:val="none" w:sz="0" w:space="0" w:color="auto"/>
                  </w:divBdr>
                </w:div>
              </w:divsChild>
            </w:div>
            <w:div w:id="1905026138">
              <w:marLeft w:val="0"/>
              <w:marRight w:val="0"/>
              <w:marTop w:val="0"/>
              <w:marBottom w:val="0"/>
              <w:divBdr>
                <w:top w:val="none" w:sz="0" w:space="0" w:color="auto"/>
                <w:left w:val="none" w:sz="0" w:space="0" w:color="auto"/>
                <w:bottom w:val="none" w:sz="0" w:space="0" w:color="auto"/>
                <w:right w:val="none" w:sz="0" w:space="0" w:color="auto"/>
              </w:divBdr>
              <w:divsChild>
                <w:div w:id="1791783434">
                  <w:marLeft w:val="0"/>
                  <w:marRight w:val="0"/>
                  <w:marTop w:val="0"/>
                  <w:marBottom w:val="0"/>
                  <w:divBdr>
                    <w:top w:val="none" w:sz="0" w:space="0" w:color="auto"/>
                    <w:left w:val="none" w:sz="0" w:space="0" w:color="auto"/>
                    <w:bottom w:val="none" w:sz="0" w:space="0" w:color="auto"/>
                    <w:right w:val="none" w:sz="0" w:space="0" w:color="auto"/>
                  </w:divBdr>
                </w:div>
                <w:div w:id="581723808">
                  <w:marLeft w:val="0"/>
                  <w:marRight w:val="0"/>
                  <w:marTop w:val="0"/>
                  <w:marBottom w:val="0"/>
                  <w:divBdr>
                    <w:top w:val="single" w:sz="8" w:space="0" w:color="000000"/>
                    <w:left w:val="single" w:sz="8" w:space="0" w:color="000000"/>
                    <w:bottom w:val="single" w:sz="8" w:space="0" w:color="000000"/>
                    <w:right w:val="single" w:sz="8" w:space="0" w:color="000000"/>
                  </w:divBdr>
                </w:div>
                <w:div w:id="1046027082">
                  <w:marLeft w:val="0"/>
                  <w:marRight w:val="0"/>
                  <w:marTop w:val="0"/>
                  <w:marBottom w:val="0"/>
                  <w:divBdr>
                    <w:top w:val="none" w:sz="0" w:space="0" w:color="auto"/>
                    <w:left w:val="none" w:sz="0" w:space="0" w:color="auto"/>
                    <w:bottom w:val="none" w:sz="0" w:space="0" w:color="auto"/>
                    <w:right w:val="none" w:sz="0" w:space="0" w:color="auto"/>
                  </w:divBdr>
                </w:div>
              </w:divsChild>
            </w:div>
            <w:div w:id="996567165">
              <w:marLeft w:val="0"/>
              <w:marRight w:val="0"/>
              <w:marTop w:val="0"/>
              <w:marBottom w:val="0"/>
              <w:divBdr>
                <w:top w:val="none" w:sz="0" w:space="0" w:color="auto"/>
                <w:left w:val="none" w:sz="0" w:space="0" w:color="auto"/>
                <w:bottom w:val="none" w:sz="0" w:space="0" w:color="auto"/>
                <w:right w:val="none" w:sz="0" w:space="0" w:color="auto"/>
              </w:divBdr>
              <w:divsChild>
                <w:div w:id="135875396">
                  <w:marLeft w:val="0"/>
                  <w:marRight w:val="0"/>
                  <w:marTop w:val="0"/>
                  <w:marBottom w:val="0"/>
                  <w:divBdr>
                    <w:top w:val="none" w:sz="0" w:space="0" w:color="auto"/>
                    <w:left w:val="none" w:sz="0" w:space="0" w:color="auto"/>
                    <w:bottom w:val="none" w:sz="0" w:space="0" w:color="auto"/>
                    <w:right w:val="none" w:sz="0" w:space="0" w:color="auto"/>
                  </w:divBdr>
                </w:div>
                <w:div w:id="13403488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88361082">
              <w:marLeft w:val="0"/>
              <w:marRight w:val="0"/>
              <w:marTop w:val="0"/>
              <w:marBottom w:val="0"/>
              <w:divBdr>
                <w:top w:val="none" w:sz="0" w:space="0" w:color="auto"/>
                <w:left w:val="none" w:sz="0" w:space="0" w:color="auto"/>
                <w:bottom w:val="none" w:sz="0" w:space="0" w:color="auto"/>
                <w:right w:val="none" w:sz="0" w:space="0" w:color="auto"/>
              </w:divBdr>
              <w:divsChild>
                <w:div w:id="963737033">
                  <w:marLeft w:val="0"/>
                  <w:marRight w:val="0"/>
                  <w:marTop w:val="0"/>
                  <w:marBottom w:val="0"/>
                  <w:divBdr>
                    <w:top w:val="none" w:sz="0" w:space="0" w:color="auto"/>
                    <w:left w:val="none" w:sz="0" w:space="0" w:color="auto"/>
                    <w:bottom w:val="none" w:sz="0" w:space="0" w:color="auto"/>
                    <w:right w:val="none" w:sz="0" w:space="0" w:color="auto"/>
                  </w:divBdr>
                </w:div>
                <w:div w:id="96069595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54761739">
              <w:marLeft w:val="0"/>
              <w:marRight w:val="0"/>
              <w:marTop w:val="0"/>
              <w:marBottom w:val="0"/>
              <w:divBdr>
                <w:top w:val="none" w:sz="0" w:space="0" w:color="auto"/>
                <w:left w:val="none" w:sz="0" w:space="0" w:color="auto"/>
                <w:bottom w:val="none" w:sz="0" w:space="0" w:color="auto"/>
                <w:right w:val="none" w:sz="0" w:space="0" w:color="auto"/>
              </w:divBdr>
              <w:divsChild>
                <w:div w:id="497699164">
                  <w:marLeft w:val="0"/>
                  <w:marRight w:val="0"/>
                  <w:marTop w:val="0"/>
                  <w:marBottom w:val="0"/>
                  <w:divBdr>
                    <w:top w:val="none" w:sz="0" w:space="0" w:color="auto"/>
                    <w:left w:val="none" w:sz="0" w:space="0" w:color="auto"/>
                    <w:bottom w:val="none" w:sz="0" w:space="0" w:color="auto"/>
                    <w:right w:val="none" w:sz="0" w:space="0" w:color="auto"/>
                  </w:divBdr>
                </w:div>
                <w:div w:id="197547608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41168819">
              <w:marLeft w:val="0"/>
              <w:marRight w:val="0"/>
              <w:marTop w:val="0"/>
              <w:marBottom w:val="0"/>
              <w:divBdr>
                <w:top w:val="none" w:sz="0" w:space="0" w:color="auto"/>
                <w:left w:val="none" w:sz="0" w:space="0" w:color="auto"/>
                <w:bottom w:val="none" w:sz="0" w:space="0" w:color="auto"/>
                <w:right w:val="none" w:sz="0" w:space="0" w:color="auto"/>
              </w:divBdr>
              <w:divsChild>
                <w:div w:id="475609780">
                  <w:marLeft w:val="0"/>
                  <w:marRight w:val="0"/>
                  <w:marTop w:val="0"/>
                  <w:marBottom w:val="0"/>
                  <w:divBdr>
                    <w:top w:val="none" w:sz="0" w:space="0" w:color="auto"/>
                    <w:left w:val="none" w:sz="0" w:space="0" w:color="auto"/>
                    <w:bottom w:val="none" w:sz="0" w:space="0" w:color="auto"/>
                    <w:right w:val="none" w:sz="0" w:space="0" w:color="auto"/>
                  </w:divBdr>
                </w:div>
                <w:div w:id="52364096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696073655">
              <w:marLeft w:val="0"/>
              <w:marRight w:val="0"/>
              <w:marTop w:val="0"/>
              <w:marBottom w:val="0"/>
              <w:divBdr>
                <w:top w:val="none" w:sz="0" w:space="0" w:color="auto"/>
                <w:left w:val="none" w:sz="0" w:space="0" w:color="auto"/>
                <w:bottom w:val="none" w:sz="0" w:space="0" w:color="auto"/>
                <w:right w:val="none" w:sz="0" w:space="0" w:color="auto"/>
              </w:divBdr>
              <w:divsChild>
                <w:div w:id="239608135">
                  <w:marLeft w:val="0"/>
                  <w:marRight w:val="0"/>
                  <w:marTop w:val="0"/>
                  <w:marBottom w:val="0"/>
                  <w:divBdr>
                    <w:top w:val="none" w:sz="0" w:space="0" w:color="auto"/>
                    <w:left w:val="none" w:sz="0" w:space="0" w:color="auto"/>
                    <w:bottom w:val="none" w:sz="0" w:space="0" w:color="auto"/>
                    <w:right w:val="none" w:sz="0" w:space="0" w:color="auto"/>
                  </w:divBdr>
                </w:div>
                <w:div w:id="85808631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099788267">
              <w:marLeft w:val="0"/>
              <w:marRight w:val="0"/>
              <w:marTop w:val="0"/>
              <w:marBottom w:val="0"/>
              <w:divBdr>
                <w:top w:val="none" w:sz="0" w:space="0" w:color="auto"/>
                <w:left w:val="none" w:sz="0" w:space="0" w:color="auto"/>
                <w:bottom w:val="none" w:sz="0" w:space="0" w:color="auto"/>
                <w:right w:val="none" w:sz="0" w:space="0" w:color="auto"/>
              </w:divBdr>
              <w:divsChild>
                <w:div w:id="57291474">
                  <w:marLeft w:val="0"/>
                  <w:marRight w:val="0"/>
                  <w:marTop w:val="0"/>
                  <w:marBottom w:val="0"/>
                  <w:divBdr>
                    <w:top w:val="none" w:sz="0" w:space="0" w:color="auto"/>
                    <w:left w:val="none" w:sz="0" w:space="0" w:color="auto"/>
                    <w:bottom w:val="none" w:sz="0" w:space="0" w:color="auto"/>
                    <w:right w:val="none" w:sz="0" w:space="0" w:color="auto"/>
                  </w:divBdr>
                </w:div>
                <w:div w:id="85422607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57260548">
              <w:marLeft w:val="0"/>
              <w:marRight w:val="0"/>
              <w:marTop w:val="0"/>
              <w:marBottom w:val="0"/>
              <w:divBdr>
                <w:top w:val="none" w:sz="0" w:space="0" w:color="auto"/>
                <w:left w:val="none" w:sz="0" w:space="0" w:color="auto"/>
                <w:bottom w:val="none" w:sz="0" w:space="0" w:color="auto"/>
                <w:right w:val="none" w:sz="0" w:space="0" w:color="auto"/>
              </w:divBdr>
              <w:divsChild>
                <w:div w:id="797800453">
                  <w:marLeft w:val="0"/>
                  <w:marRight w:val="0"/>
                  <w:marTop w:val="0"/>
                  <w:marBottom w:val="0"/>
                  <w:divBdr>
                    <w:top w:val="none" w:sz="0" w:space="0" w:color="auto"/>
                    <w:left w:val="none" w:sz="0" w:space="0" w:color="auto"/>
                    <w:bottom w:val="none" w:sz="0" w:space="0" w:color="auto"/>
                    <w:right w:val="none" w:sz="0" w:space="0" w:color="auto"/>
                  </w:divBdr>
                </w:div>
                <w:div w:id="3670247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2124238">
              <w:marLeft w:val="0"/>
              <w:marRight w:val="0"/>
              <w:marTop w:val="0"/>
              <w:marBottom w:val="0"/>
              <w:divBdr>
                <w:top w:val="none" w:sz="0" w:space="0" w:color="auto"/>
                <w:left w:val="none" w:sz="0" w:space="0" w:color="auto"/>
                <w:bottom w:val="none" w:sz="0" w:space="0" w:color="auto"/>
                <w:right w:val="none" w:sz="0" w:space="0" w:color="auto"/>
              </w:divBdr>
              <w:divsChild>
                <w:div w:id="75826516">
                  <w:marLeft w:val="0"/>
                  <w:marRight w:val="0"/>
                  <w:marTop w:val="0"/>
                  <w:marBottom w:val="0"/>
                  <w:divBdr>
                    <w:top w:val="none" w:sz="0" w:space="0" w:color="auto"/>
                    <w:left w:val="none" w:sz="0" w:space="0" w:color="auto"/>
                    <w:bottom w:val="none" w:sz="0" w:space="0" w:color="auto"/>
                    <w:right w:val="none" w:sz="0" w:space="0" w:color="auto"/>
                  </w:divBdr>
                </w:div>
                <w:div w:id="178245418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719745497">
              <w:marLeft w:val="0"/>
              <w:marRight w:val="0"/>
              <w:marTop w:val="0"/>
              <w:marBottom w:val="0"/>
              <w:divBdr>
                <w:top w:val="none" w:sz="0" w:space="0" w:color="auto"/>
                <w:left w:val="none" w:sz="0" w:space="0" w:color="auto"/>
                <w:bottom w:val="none" w:sz="0" w:space="0" w:color="auto"/>
                <w:right w:val="none" w:sz="0" w:space="0" w:color="auto"/>
              </w:divBdr>
              <w:divsChild>
                <w:div w:id="606502186">
                  <w:marLeft w:val="0"/>
                  <w:marRight w:val="0"/>
                  <w:marTop w:val="0"/>
                  <w:marBottom w:val="0"/>
                  <w:divBdr>
                    <w:top w:val="none" w:sz="0" w:space="0" w:color="auto"/>
                    <w:left w:val="none" w:sz="0" w:space="0" w:color="auto"/>
                    <w:bottom w:val="none" w:sz="0" w:space="0" w:color="auto"/>
                    <w:right w:val="none" w:sz="0" w:space="0" w:color="auto"/>
                  </w:divBdr>
                </w:div>
                <w:div w:id="162962913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678508871">
              <w:marLeft w:val="0"/>
              <w:marRight w:val="0"/>
              <w:marTop w:val="0"/>
              <w:marBottom w:val="0"/>
              <w:divBdr>
                <w:top w:val="none" w:sz="0" w:space="0" w:color="auto"/>
                <w:left w:val="none" w:sz="0" w:space="0" w:color="auto"/>
                <w:bottom w:val="none" w:sz="0" w:space="0" w:color="auto"/>
                <w:right w:val="none" w:sz="0" w:space="0" w:color="auto"/>
              </w:divBdr>
              <w:divsChild>
                <w:div w:id="985478884">
                  <w:marLeft w:val="0"/>
                  <w:marRight w:val="0"/>
                  <w:marTop w:val="0"/>
                  <w:marBottom w:val="0"/>
                  <w:divBdr>
                    <w:top w:val="none" w:sz="0" w:space="0" w:color="auto"/>
                    <w:left w:val="none" w:sz="0" w:space="0" w:color="auto"/>
                    <w:bottom w:val="none" w:sz="0" w:space="0" w:color="auto"/>
                    <w:right w:val="none" w:sz="0" w:space="0" w:color="auto"/>
                  </w:divBdr>
                </w:div>
                <w:div w:id="161120489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68699349">
              <w:marLeft w:val="0"/>
              <w:marRight w:val="0"/>
              <w:marTop w:val="0"/>
              <w:marBottom w:val="0"/>
              <w:divBdr>
                <w:top w:val="none" w:sz="0" w:space="0" w:color="auto"/>
                <w:left w:val="none" w:sz="0" w:space="0" w:color="auto"/>
                <w:bottom w:val="none" w:sz="0" w:space="0" w:color="auto"/>
                <w:right w:val="none" w:sz="0" w:space="0" w:color="auto"/>
              </w:divBdr>
              <w:divsChild>
                <w:div w:id="2058316696">
                  <w:marLeft w:val="0"/>
                  <w:marRight w:val="0"/>
                  <w:marTop w:val="0"/>
                  <w:marBottom w:val="0"/>
                  <w:divBdr>
                    <w:top w:val="none" w:sz="0" w:space="0" w:color="auto"/>
                    <w:left w:val="none" w:sz="0" w:space="0" w:color="auto"/>
                    <w:bottom w:val="none" w:sz="0" w:space="0" w:color="auto"/>
                    <w:right w:val="none" w:sz="0" w:space="0" w:color="auto"/>
                  </w:divBdr>
                </w:div>
                <w:div w:id="136343500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30948393">
              <w:marLeft w:val="0"/>
              <w:marRight w:val="0"/>
              <w:marTop w:val="0"/>
              <w:marBottom w:val="0"/>
              <w:divBdr>
                <w:top w:val="none" w:sz="0" w:space="0" w:color="auto"/>
                <w:left w:val="none" w:sz="0" w:space="0" w:color="auto"/>
                <w:bottom w:val="none" w:sz="0" w:space="0" w:color="auto"/>
                <w:right w:val="none" w:sz="0" w:space="0" w:color="auto"/>
              </w:divBdr>
              <w:divsChild>
                <w:div w:id="1087266102">
                  <w:marLeft w:val="0"/>
                  <w:marRight w:val="0"/>
                  <w:marTop w:val="0"/>
                  <w:marBottom w:val="0"/>
                  <w:divBdr>
                    <w:top w:val="none" w:sz="0" w:space="0" w:color="auto"/>
                    <w:left w:val="none" w:sz="0" w:space="0" w:color="auto"/>
                    <w:bottom w:val="none" w:sz="0" w:space="0" w:color="auto"/>
                    <w:right w:val="none" w:sz="0" w:space="0" w:color="auto"/>
                  </w:divBdr>
                </w:div>
                <w:div w:id="196164555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11050458">
              <w:marLeft w:val="0"/>
              <w:marRight w:val="0"/>
              <w:marTop w:val="0"/>
              <w:marBottom w:val="0"/>
              <w:divBdr>
                <w:top w:val="none" w:sz="0" w:space="0" w:color="auto"/>
                <w:left w:val="none" w:sz="0" w:space="0" w:color="auto"/>
                <w:bottom w:val="none" w:sz="0" w:space="0" w:color="auto"/>
                <w:right w:val="none" w:sz="0" w:space="0" w:color="auto"/>
              </w:divBdr>
              <w:divsChild>
                <w:div w:id="790323899">
                  <w:marLeft w:val="0"/>
                  <w:marRight w:val="0"/>
                  <w:marTop w:val="0"/>
                  <w:marBottom w:val="0"/>
                  <w:divBdr>
                    <w:top w:val="none" w:sz="0" w:space="0" w:color="auto"/>
                    <w:left w:val="none" w:sz="0" w:space="0" w:color="auto"/>
                    <w:bottom w:val="none" w:sz="0" w:space="0" w:color="auto"/>
                    <w:right w:val="none" w:sz="0" w:space="0" w:color="auto"/>
                  </w:divBdr>
                </w:div>
                <w:div w:id="978652553">
                  <w:marLeft w:val="0"/>
                  <w:marRight w:val="0"/>
                  <w:marTop w:val="0"/>
                  <w:marBottom w:val="0"/>
                  <w:divBdr>
                    <w:top w:val="single" w:sz="8" w:space="0" w:color="000000"/>
                    <w:left w:val="single" w:sz="8" w:space="0" w:color="000000"/>
                    <w:bottom w:val="single" w:sz="8" w:space="0" w:color="000000"/>
                    <w:right w:val="single" w:sz="8" w:space="0" w:color="000000"/>
                  </w:divBdr>
                </w:div>
                <w:div w:id="1381006762">
                  <w:marLeft w:val="0"/>
                  <w:marRight w:val="0"/>
                  <w:marTop w:val="0"/>
                  <w:marBottom w:val="0"/>
                  <w:divBdr>
                    <w:top w:val="none" w:sz="0" w:space="0" w:color="auto"/>
                    <w:left w:val="none" w:sz="0" w:space="0" w:color="auto"/>
                    <w:bottom w:val="none" w:sz="0" w:space="0" w:color="auto"/>
                    <w:right w:val="none" w:sz="0" w:space="0" w:color="auto"/>
                  </w:divBdr>
                </w:div>
              </w:divsChild>
            </w:div>
            <w:div w:id="763917688">
              <w:marLeft w:val="0"/>
              <w:marRight w:val="0"/>
              <w:marTop w:val="0"/>
              <w:marBottom w:val="0"/>
              <w:divBdr>
                <w:top w:val="none" w:sz="0" w:space="0" w:color="auto"/>
                <w:left w:val="none" w:sz="0" w:space="0" w:color="auto"/>
                <w:bottom w:val="none" w:sz="0" w:space="0" w:color="auto"/>
                <w:right w:val="none" w:sz="0" w:space="0" w:color="auto"/>
              </w:divBdr>
            </w:div>
            <w:div w:id="464591983">
              <w:marLeft w:val="0"/>
              <w:marRight w:val="0"/>
              <w:marTop w:val="0"/>
              <w:marBottom w:val="0"/>
              <w:divBdr>
                <w:top w:val="none" w:sz="0" w:space="0" w:color="auto"/>
                <w:left w:val="none" w:sz="0" w:space="0" w:color="auto"/>
                <w:bottom w:val="none" w:sz="0" w:space="0" w:color="auto"/>
                <w:right w:val="none" w:sz="0" w:space="0" w:color="auto"/>
              </w:divBdr>
            </w:div>
            <w:div w:id="1364668868">
              <w:marLeft w:val="0"/>
              <w:marRight w:val="0"/>
              <w:marTop w:val="0"/>
              <w:marBottom w:val="0"/>
              <w:divBdr>
                <w:top w:val="none" w:sz="0" w:space="0" w:color="auto"/>
                <w:left w:val="none" w:sz="0" w:space="0" w:color="auto"/>
                <w:bottom w:val="none" w:sz="0" w:space="0" w:color="auto"/>
                <w:right w:val="none" w:sz="0" w:space="0" w:color="auto"/>
              </w:divBdr>
            </w:div>
            <w:div w:id="1490438252">
              <w:marLeft w:val="0"/>
              <w:marRight w:val="0"/>
              <w:marTop w:val="0"/>
              <w:marBottom w:val="0"/>
              <w:divBdr>
                <w:top w:val="none" w:sz="0" w:space="0" w:color="auto"/>
                <w:left w:val="none" w:sz="0" w:space="0" w:color="auto"/>
                <w:bottom w:val="none" w:sz="0" w:space="0" w:color="auto"/>
                <w:right w:val="none" w:sz="0" w:space="0" w:color="auto"/>
              </w:divBdr>
              <w:divsChild>
                <w:div w:id="1094012384">
                  <w:marLeft w:val="0"/>
                  <w:marRight w:val="0"/>
                  <w:marTop w:val="253"/>
                  <w:marBottom w:val="0"/>
                  <w:divBdr>
                    <w:top w:val="single" w:sz="4" w:space="0" w:color="000000"/>
                    <w:left w:val="none" w:sz="0" w:space="0" w:color="auto"/>
                    <w:bottom w:val="none" w:sz="0" w:space="0" w:color="auto"/>
                    <w:right w:val="none" w:sz="0" w:space="0" w:color="auto"/>
                  </w:divBdr>
                </w:div>
                <w:div w:id="745808037">
                  <w:marLeft w:val="0"/>
                  <w:marRight w:val="0"/>
                  <w:marTop w:val="253"/>
                  <w:marBottom w:val="0"/>
                  <w:divBdr>
                    <w:top w:val="single" w:sz="4" w:space="0" w:color="000000"/>
                    <w:left w:val="none" w:sz="0" w:space="0" w:color="auto"/>
                    <w:bottom w:val="none" w:sz="0" w:space="0" w:color="auto"/>
                    <w:right w:val="none" w:sz="0" w:space="0" w:color="auto"/>
                  </w:divBdr>
                </w:div>
                <w:div w:id="1896623481">
                  <w:marLeft w:val="0"/>
                  <w:marRight w:val="0"/>
                  <w:marTop w:val="253"/>
                  <w:marBottom w:val="0"/>
                  <w:divBdr>
                    <w:top w:val="single" w:sz="4" w:space="0" w:color="000000"/>
                    <w:left w:val="none" w:sz="0" w:space="0" w:color="auto"/>
                    <w:bottom w:val="none" w:sz="0" w:space="0" w:color="auto"/>
                    <w:right w:val="none" w:sz="0" w:space="0" w:color="auto"/>
                  </w:divBdr>
                </w:div>
                <w:div w:id="482357764">
                  <w:marLeft w:val="0"/>
                  <w:marRight w:val="0"/>
                  <w:marTop w:val="253"/>
                  <w:marBottom w:val="0"/>
                  <w:divBdr>
                    <w:top w:val="single" w:sz="4" w:space="0" w:color="000000"/>
                    <w:left w:val="none" w:sz="0" w:space="0" w:color="auto"/>
                    <w:bottom w:val="none" w:sz="0" w:space="0" w:color="auto"/>
                    <w:right w:val="none" w:sz="0" w:space="0" w:color="auto"/>
                  </w:divBdr>
                </w:div>
                <w:div w:id="994456468">
                  <w:marLeft w:val="0"/>
                  <w:marRight w:val="0"/>
                  <w:marTop w:val="0"/>
                  <w:marBottom w:val="0"/>
                  <w:divBdr>
                    <w:top w:val="none" w:sz="0" w:space="0" w:color="auto"/>
                    <w:left w:val="none" w:sz="0" w:space="0" w:color="auto"/>
                    <w:bottom w:val="none" w:sz="0" w:space="0" w:color="auto"/>
                    <w:right w:val="none" w:sz="0" w:space="0" w:color="auto"/>
                  </w:divBdr>
                  <w:divsChild>
                    <w:div w:id="1823964837">
                      <w:marLeft w:val="0"/>
                      <w:marRight w:val="0"/>
                      <w:marTop w:val="0"/>
                      <w:marBottom w:val="0"/>
                      <w:divBdr>
                        <w:top w:val="single" w:sz="8" w:space="0" w:color="000000"/>
                        <w:left w:val="single" w:sz="8" w:space="0" w:color="000000"/>
                        <w:bottom w:val="single" w:sz="8" w:space="0" w:color="000000"/>
                        <w:right w:val="single" w:sz="8" w:space="0" w:color="000000"/>
                      </w:divBdr>
                    </w:div>
                    <w:div w:id="473645756">
                      <w:marLeft w:val="0"/>
                      <w:marRight w:val="0"/>
                      <w:marTop w:val="0"/>
                      <w:marBottom w:val="0"/>
                      <w:divBdr>
                        <w:top w:val="none" w:sz="0" w:space="0" w:color="auto"/>
                        <w:left w:val="none" w:sz="0" w:space="0" w:color="auto"/>
                        <w:bottom w:val="none" w:sz="0" w:space="0" w:color="auto"/>
                        <w:right w:val="none" w:sz="0" w:space="0" w:color="auto"/>
                      </w:divBdr>
                    </w:div>
                  </w:divsChild>
                </w:div>
                <w:div w:id="1130973058">
                  <w:marLeft w:val="0"/>
                  <w:marRight w:val="0"/>
                  <w:marTop w:val="253"/>
                  <w:marBottom w:val="0"/>
                  <w:divBdr>
                    <w:top w:val="single" w:sz="4" w:space="0" w:color="000000"/>
                    <w:left w:val="none" w:sz="0" w:space="0" w:color="auto"/>
                    <w:bottom w:val="none" w:sz="0" w:space="0" w:color="auto"/>
                    <w:right w:val="none" w:sz="0" w:space="0" w:color="auto"/>
                  </w:divBdr>
                </w:div>
                <w:div w:id="1702895586">
                  <w:marLeft w:val="0"/>
                  <w:marRight w:val="0"/>
                  <w:marTop w:val="253"/>
                  <w:marBottom w:val="0"/>
                  <w:divBdr>
                    <w:top w:val="single" w:sz="4" w:space="0" w:color="000000"/>
                    <w:left w:val="none" w:sz="0" w:space="0" w:color="auto"/>
                    <w:bottom w:val="none" w:sz="0" w:space="0" w:color="auto"/>
                    <w:right w:val="none" w:sz="0" w:space="0" w:color="auto"/>
                  </w:divBdr>
                </w:div>
                <w:div w:id="853030033">
                  <w:marLeft w:val="0"/>
                  <w:marRight w:val="0"/>
                  <w:marTop w:val="253"/>
                  <w:marBottom w:val="0"/>
                  <w:divBdr>
                    <w:top w:val="single" w:sz="4" w:space="0" w:color="000000"/>
                    <w:left w:val="none" w:sz="0" w:space="0" w:color="auto"/>
                    <w:bottom w:val="none" w:sz="0" w:space="0" w:color="auto"/>
                    <w:right w:val="none" w:sz="0" w:space="0" w:color="auto"/>
                  </w:divBdr>
                </w:div>
                <w:div w:id="1140734031">
                  <w:marLeft w:val="0"/>
                  <w:marRight w:val="0"/>
                  <w:marTop w:val="253"/>
                  <w:marBottom w:val="0"/>
                  <w:divBdr>
                    <w:top w:val="single" w:sz="4" w:space="0" w:color="000000"/>
                    <w:left w:val="none" w:sz="0" w:space="0" w:color="auto"/>
                    <w:bottom w:val="none" w:sz="0" w:space="0" w:color="auto"/>
                    <w:right w:val="none" w:sz="0" w:space="0" w:color="auto"/>
                  </w:divBdr>
                </w:div>
              </w:divsChild>
            </w:div>
            <w:div w:id="1975869700">
              <w:marLeft w:val="0"/>
              <w:marRight w:val="0"/>
              <w:marTop w:val="0"/>
              <w:marBottom w:val="0"/>
              <w:divBdr>
                <w:top w:val="none" w:sz="0" w:space="0" w:color="auto"/>
                <w:left w:val="none" w:sz="0" w:space="0" w:color="auto"/>
                <w:bottom w:val="none" w:sz="0" w:space="0" w:color="auto"/>
                <w:right w:val="none" w:sz="0" w:space="0" w:color="auto"/>
              </w:divBdr>
            </w:div>
            <w:div w:id="1774016533">
              <w:marLeft w:val="0"/>
              <w:marRight w:val="0"/>
              <w:marTop w:val="0"/>
              <w:marBottom w:val="0"/>
              <w:divBdr>
                <w:top w:val="none" w:sz="0" w:space="0" w:color="auto"/>
                <w:left w:val="none" w:sz="0" w:space="0" w:color="auto"/>
                <w:bottom w:val="none" w:sz="0" w:space="0" w:color="auto"/>
                <w:right w:val="none" w:sz="0" w:space="0" w:color="auto"/>
              </w:divBdr>
            </w:div>
            <w:div w:id="964114567">
              <w:marLeft w:val="0"/>
              <w:marRight w:val="0"/>
              <w:marTop w:val="0"/>
              <w:marBottom w:val="0"/>
              <w:divBdr>
                <w:top w:val="none" w:sz="0" w:space="0" w:color="auto"/>
                <w:left w:val="none" w:sz="0" w:space="0" w:color="auto"/>
                <w:bottom w:val="none" w:sz="0" w:space="0" w:color="auto"/>
                <w:right w:val="none" w:sz="0" w:space="0" w:color="auto"/>
              </w:divBdr>
            </w:div>
            <w:div w:id="658728477">
              <w:marLeft w:val="0"/>
              <w:marRight w:val="0"/>
              <w:marTop w:val="0"/>
              <w:marBottom w:val="0"/>
              <w:divBdr>
                <w:top w:val="none" w:sz="0" w:space="0" w:color="auto"/>
                <w:left w:val="none" w:sz="0" w:space="0" w:color="auto"/>
                <w:bottom w:val="none" w:sz="0" w:space="0" w:color="auto"/>
                <w:right w:val="none" w:sz="0" w:space="0" w:color="auto"/>
              </w:divBdr>
            </w:div>
            <w:div w:id="124007497">
              <w:marLeft w:val="0"/>
              <w:marRight w:val="0"/>
              <w:marTop w:val="0"/>
              <w:marBottom w:val="0"/>
              <w:divBdr>
                <w:top w:val="none" w:sz="0" w:space="0" w:color="auto"/>
                <w:left w:val="none" w:sz="0" w:space="0" w:color="auto"/>
                <w:bottom w:val="none" w:sz="0" w:space="0" w:color="auto"/>
                <w:right w:val="none" w:sz="0" w:space="0" w:color="auto"/>
              </w:divBdr>
            </w:div>
            <w:div w:id="1535970192">
              <w:marLeft w:val="0"/>
              <w:marRight w:val="0"/>
              <w:marTop w:val="0"/>
              <w:marBottom w:val="0"/>
              <w:divBdr>
                <w:top w:val="none" w:sz="0" w:space="0" w:color="auto"/>
                <w:left w:val="none" w:sz="0" w:space="0" w:color="auto"/>
                <w:bottom w:val="none" w:sz="0" w:space="0" w:color="auto"/>
                <w:right w:val="none" w:sz="0" w:space="0" w:color="auto"/>
              </w:divBdr>
            </w:div>
            <w:div w:id="582491693">
              <w:marLeft w:val="0"/>
              <w:marRight w:val="0"/>
              <w:marTop w:val="0"/>
              <w:marBottom w:val="0"/>
              <w:divBdr>
                <w:top w:val="none" w:sz="0" w:space="0" w:color="auto"/>
                <w:left w:val="none" w:sz="0" w:space="0" w:color="auto"/>
                <w:bottom w:val="none" w:sz="0" w:space="0" w:color="auto"/>
                <w:right w:val="none" w:sz="0" w:space="0" w:color="auto"/>
              </w:divBdr>
            </w:div>
            <w:div w:id="936518036">
              <w:marLeft w:val="0"/>
              <w:marRight w:val="0"/>
              <w:marTop w:val="0"/>
              <w:marBottom w:val="0"/>
              <w:divBdr>
                <w:top w:val="none" w:sz="0" w:space="0" w:color="auto"/>
                <w:left w:val="none" w:sz="0" w:space="0" w:color="auto"/>
                <w:bottom w:val="none" w:sz="0" w:space="0" w:color="auto"/>
                <w:right w:val="none" w:sz="0" w:space="0" w:color="auto"/>
              </w:divBdr>
            </w:div>
            <w:div w:id="1125150284">
              <w:marLeft w:val="0"/>
              <w:marRight w:val="0"/>
              <w:marTop w:val="0"/>
              <w:marBottom w:val="0"/>
              <w:divBdr>
                <w:top w:val="none" w:sz="0" w:space="0" w:color="auto"/>
                <w:left w:val="none" w:sz="0" w:space="0" w:color="auto"/>
                <w:bottom w:val="none" w:sz="0" w:space="0" w:color="auto"/>
                <w:right w:val="none" w:sz="0" w:space="0" w:color="auto"/>
              </w:divBdr>
            </w:div>
            <w:div w:id="2036728860">
              <w:marLeft w:val="0"/>
              <w:marRight w:val="0"/>
              <w:marTop w:val="0"/>
              <w:marBottom w:val="0"/>
              <w:divBdr>
                <w:top w:val="none" w:sz="0" w:space="0" w:color="auto"/>
                <w:left w:val="none" w:sz="0" w:space="0" w:color="auto"/>
                <w:bottom w:val="none" w:sz="0" w:space="0" w:color="auto"/>
                <w:right w:val="none" w:sz="0" w:space="0" w:color="auto"/>
              </w:divBdr>
              <w:divsChild>
                <w:div w:id="1912307076">
                  <w:marLeft w:val="0"/>
                  <w:marRight w:val="0"/>
                  <w:marTop w:val="0"/>
                  <w:marBottom w:val="0"/>
                  <w:divBdr>
                    <w:top w:val="none" w:sz="0" w:space="0" w:color="auto"/>
                    <w:left w:val="none" w:sz="0" w:space="0" w:color="auto"/>
                    <w:bottom w:val="none" w:sz="0" w:space="0" w:color="auto"/>
                    <w:right w:val="none" w:sz="0" w:space="0" w:color="auto"/>
                  </w:divBdr>
                </w:div>
                <w:div w:id="1509178848">
                  <w:marLeft w:val="0"/>
                  <w:marRight w:val="0"/>
                  <w:marTop w:val="0"/>
                  <w:marBottom w:val="0"/>
                  <w:divBdr>
                    <w:top w:val="single" w:sz="8" w:space="0" w:color="000000"/>
                    <w:left w:val="single" w:sz="8" w:space="0" w:color="000000"/>
                    <w:bottom w:val="single" w:sz="8" w:space="0" w:color="000000"/>
                    <w:right w:val="single" w:sz="8" w:space="0" w:color="000000"/>
                  </w:divBdr>
                </w:div>
                <w:div w:id="1163662584">
                  <w:marLeft w:val="0"/>
                  <w:marRight w:val="0"/>
                  <w:marTop w:val="0"/>
                  <w:marBottom w:val="0"/>
                  <w:divBdr>
                    <w:top w:val="none" w:sz="0" w:space="0" w:color="auto"/>
                    <w:left w:val="none" w:sz="0" w:space="0" w:color="auto"/>
                    <w:bottom w:val="none" w:sz="0" w:space="0" w:color="auto"/>
                    <w:right w:val="none" w:sz="0" w:space="0" w:color="auto"/>
                  </w:divBdr>
                </w:div>
              </w:divsChild>
            </w:div>
            <w:div w:id="637491691">
              <w:marLeft w:val="0"/>
              <w:marRight w:val="0"/>
              <w:marTop w:val="0"/>
              <w:marBottom w:val="0"/>
              <w:divBdr>
                <w:top w:val="none" w:sz="0" w:space="0" w:color="auto"/>
                <w:left w:val="none" w:sz="0" w:space="0" w:color="auto"/>
                <w:bottom w:val="none" w:sz="0" w:space="0" w:color="auto"/>
                <w:right w:val="none" w:sz="0" w:space="0" w:color="auto"/>
              </w:divBdr>
            </w:div>
            <w:div w:id="986394794">
              <w:marLeft w:val="0"/>
              <w:marRight w:val="0"/>
              <w:marTop w:val="0"/>
              <w:marBottom w:val="0"/>
              <w:divBdr>
                <w:top w:val="none" w:sz="0" w:space="0" w:color="auto"/>
                <w:left w:val="none" w:sz="0" w:space="0" w:color="auto"/>
                <w:bottom w:val="none" w:sz="0" w:space="0" w:color="auto"/>
                <w:right w:val="none" w:sz="0" w:space="0" w:color="auto"/>
              </w:divBdr>
            </w:div>
            <w:div w:id="2117628809">
              <w:marLeft w:val="0"/>
              <w:marRight w:val="0"/>
              <w:marTop w:val="0"/>
              <w:marBottom w:val="0"/>
              <w:divBdr>
                <w:top w:val="none" w:sz="0" w:space="0" w:color="auto"/>
                <w:left w:val="none" w:sz="0" w:space="0" w:color="auto"/>
                <w:bottom w:val="none" w:sz="0" w:space="0" w:color="auto"/>
                <w:right w:val="none" w:sz="0" w:space="0" w:color="auto"/>
              </w:divBdr>
            </w:div>
            <w:div w:id="2123525169">
              <w:marLeft w:val="0"/>
              <w:marRight w:val="0"/>
              <w:marTop w:val="0"/>
              <w:marBottom w:val="0"/>
              <w:divBdr>
                <w:top w:val="none" w:sz="0" w:space="0" w:color="auto"/>
                <w:left w:val="none" w:sz="0" w:space="0" w:color="auto"/>
                <w:bottom w:val="none" w:sz="0" w:space="0" w:color="auto"/>
                <w:right w:val="none" w:sz="0" w:space="0" w:color="auto"/>
              </w:divBdr>
            </w:div>
            <w:div w:id="935211767">
              <w:marLeft w:val="0"/>
              <w:marRight w:val="0"/>
              <w:marTop w:val="0"/>
              <w:marBottom w:val="0"/>
              <w:divBdr>
                <w:top w:val="none" w:sz="0" w:space="0" w:color="auto"/>
                <w:left w:val="none" w:sz="0" w:space="0" w:color="auto"/>
                <w:bottom w:val="none" w:sz="0" w:space="0" w:color="auto"/>
                <w:right w:val="none" w:sz="0" w:space="0" w:color="auto"/>
              </w:divBdr>
            </w:div>
            <w:div w:id="984897627">
              <w:marLeft w:val="0"/>
              <w:marRight w:val="0"/>
              <w:marTop w:val="0"/>
              <w:marBottom w:val="0"/>
              <w:divBdr>
                <w:top w:val="none" w:sz="0" w:space="0" w:color="auto"/>
                <w:left w:val="none" w:sz="0" w:space="0" w:color="auto"/>
                <w:bottom w:val="none" w:sz="0" w:space="0" w:color="auto"/>
                <w:right w:val="none" w:sz="0" w:space="0" w:color="auto"/>
              </w:divBdr>
            </w:div>
            <w:div w:id="894436475">
              <w:marLeft w:val="0"/>
              <w:marRight w:val="0"/>
              <w:marTop w:val="0"/>
              <w:marBottom w:val="0"/>
              <w:divBdr>
                <w:top w:val="none" w:sz="0" w:space="0" w:color="auto"/>
                <w:left w:val="none" w:sz="0" w:space="0" w:color="auto"/>
                <w:bottom w:val="none" w:sz="0" w:space="0" w:color="auto"/>
                <w:right w:val="none" w:sz="0" w:space="0" w:color="auto"/>
              </w:divBdr>
            </w:div>
            <w:div w:id="1877618283">
              <w:marLeft w:val="0"/>
              <w:marRight w:val="0"/>
              <w:marTop w:val="0"/>
              <w:marBottom w:val="0"/>
              <w:divBdr>
                <w:top w:val="none" w:sz="0" w:space="0" w:color="auto"/>
                <w:left w:val="none" w:sz="0" w:space="0" w:color="auto"/>
                <w:bottom w:val="none" w:sz="0" w:space="0" w:color="auto"/>
                <w:right w:val="none" w:sz="0" w:space="0" w:color="auto"/>
              </w:divBdr>
            </w:div>
            <w:div w:id="1301764448">
              <w:marLeft w:val="0"/>
              <w:marRight w:val="0"/>
              <w:marTop w:val="0"/>
              <w:marBottom w:val="0"/>
              <w:divBdr>
                <w:top w:val="none" w:sz="0" w:space="0" w:color="auto"/>
                <w:left w:val="none" w:sz="0" w:space="0" w:color="auto"/>
                <w:bottom w:val="none" w:sz="0" w:space="0" w:color="auto"/>
                <w:right w:val="none" w:sz="0" w:space="0" w:color="auto"/>
              </w:divBdr>
            </w:div>
            <w:div w:id="1174760521">
              <w:marLeft w:val="0"/>
              <w:marRight w:val="0"/>
              <w:marTop w:val="0"/>
              <w:marBottom w:val="0"/>
              <w:divBdr>
                <w:top w:val="none" w:sz="0" w:space="0" w:color="auto"/>
                <w:left w:val="none" w:sz="0" w:space="0" w:color="auto"/>
                <w:bottom w:val="none" w:sz="0" w:space="0" w:color="auto"/>
                <w:right w:val="none" w:sz="0" w:space="0" w:color="auto"/>
              </w:divBdr>
              <w:divsChild>
                <w:div w:id="1513031886">
                  <w:marLeft w:val="0"/>
                  <w:marRight w:val="0"/>
                  <w:marTop w:val="0"/>
                  <w:marBottom w:val="0"/>
                  <w:divBdr>
                    <w:top w:val="single" w:sz="8" w:space="0" w:color="000000"/>
                    <w:left w:val="single" w:sz="8" w:space="0" w:color="000000"/>
                    <w:bottom w:val="single" w:sz="8" w:space="0" w:color="000000"/>
                    <w:right w:val="single" w:sz="8" w:space="0" w:color="000000"/>
                  </w:divBdr>
                </w:div>
                <w:div w:id="133556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graphics/pdfs/ec01jn92.008.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fr.gov/cgi-bin/retrieveECFR?gp=&amp;SID=793809c6318175640cb9c1d08f76dfa7&amp;n=40y7.0.1.1.1&amp;r=PART&amp;ty=HTML" TargetMode="External"/><Relationship Id="rId11" Type="http://schemas.openxmlformats.org/officeDocument/2006/relationships/image" Target="media/image3.gif"/><Relationship Id="rId5" Type="http://schemas.openxmlformats.org/officeDocument/2006/relationships/endnotes" Target="endnotes.xml"/><Relationship Id="rId10" Type="http://schemas.openxmlformats.org/officeDocument/2006/relationships/hyperlink" Target="http://www.ecfr.gov/graphics/pdfs/ec01jn92.009.pdf" TargetMode="Externa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85</Pages>
  <Words>39864</Words>
  <Characters>227228</Characters>
  <Application>Microsoft Office Word</Application>
  <DocSecurity>0</DocSecurity>
  <Lines>1893</Lines>
  <Paragraphs>533</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266559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5</cp:revision>
  <dcterms:created xsi:type="dcterms:W3CDTF">2013-08-07T15:35:00Z</dcterms:created>
  <dcterms:modified xsi:type="dcterms:W3CDTF">2013-08-07T15:54:00Z</dcterms:modified>
</cp:coreProperties>
</file>